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2AD68A0E" w:rsidR="00FA7685" w:rsidRDefault="00317A46">
      <w:pPr>
        <w:jc w:val="center"/>
      </w:pPr>
      <w:r>
        <w:rPr>
          <w:rFonts w:ascii="Calibri" w:eastAsia="Calibri" w:hAnsi="Calibri" w:cs="Calibri"/>
          <w:b/>
          <w:sz w:val="22"/>
          <w:szCs w:val="22"/>
        </w:rPr>
        <w:t>Direction Nationale des Mines (DNM)</w:t>
      </w:r>
    </w:p>
    <w:p w14:paraId="768D43C2" w14:textId="77777777" w:rsidR="00FA7685" w:rsidRDefault="00FA7685">
      <w:pPr>
        <w:jc w:val="center"/>
      </w:pPr>
    </w:p>
    <w:p w14:paraId="2034FDC3" w14:textId="1B1BC2CB" w:rsidR="00491079" w:rsidRDefault="006E680F">
      <w:pPr>
        <w:jc w:val="center"/>
        <w:rPr>
          <w:rFonts w:ascii="Calibri" w:eastAsia="Calibri" w:hAnsi="Calibri" w:cs="Calibri"/>
          <w:b/>
          <w:sz w:val="22"/>
          <w:szCs w:val="22"/>
        </w:rPr>
      </w:pPr>
      <w:r w:rsidRPr="006E680F">
        <w:rPr>
          <w:rFonts w:ascii="Calibri" w:eastAsia="Calibri" w:hAnsi="Calibri" w:cs="Calibri"/>
          <w:b/>
          <w:sz w:val="22"/>
          <w:szCs w:val="22"/>
        </w:rPr>
        <w:t xml:space="preserve">Autorisation </w:t>
      </w:r>
      <w:r w:rsidR="008B75C4">
        <w:rPr>
          <w:rFonts w:ascii="Calibri" w:eastAsia="Calibri" w:hAnsi="Calibri" w:cs="Calibri"/>
          <w:b/>
          <w:sz w:val="22"/>
          <w:szCs w:val="22"/>
        </w:rPr>
        <w:t>de recherche de carrière</w:t>
      </w:r>
      <w:r w:rsidR="008A3B3F">
        <w:rPr>
          <w:rFonts w:ascii="Calibri" w:eastAsia="Calibri" w:hAnsi="Calibri" w:cs="Calibri"/>
          <w:b/>
          <w:sz w:val="22"/>
          <w:szCs w:val="22"/>
        </w:rPr>
        <w:t xml:space="preserve"> </w:t>
      </w:r>
    </w:p>
    <w:p w14:paraId="39F078EF" w14:textId="77777777" w:rsidR="006E680F" w:rsidRPr="00EB444C" w:rsidRDefault="006E680F">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0DA98B8F" w:rsidR="00FA7685" w:rsidRPr="0061181A" w:rsidRDefault="008B75C4" w:rsidP="00491079">
            <w:pPr>
              <w:rPr>
                <w:rFonts w:ascii="Calibri" w:hAnsi="Calibri"/>
                <w:color w:val="000000" w:themeColor="text1"/>
                <w:sz w:val="22"/>
                <w:szCs w:val="22"/>
              </w:rPr>
            </w:pPr>
            <w:r>
              <w:rPr>
                <w:rFonts w:ascii="Calibri" w:hAnsi="Calibri"/>
                <w:color w:val="000000" w:themeColor="text1"/>
                <w:sz w:val="22"/>
                <w:szCs w:val="22"/>
              </w:rPr>
              <w:t>Autorisation</w:t>
            </w:r>
            <w:r w:rsidR="00F77835">
              <w:rPr>
                <w:rFonts w:ascii="Calibri" w:hAnsi="Calibri"/>
                <w:color w:val="000000" w:themeColor="text1"/>
                <w:sz w:val="22"/>
                <w:szCs w:val="22"/>
              </w:rPr>
              <w:t xml:space="preserve"> délivré</w:t>
            </w:r>
            <w:r>
              <w:rPr>
                <w:rFonts w:ascii="Calibri" w:hAnsi="Calibri"/>
                <w:color w:val="000000" w:themeColor="text1"/>
                <w:sz w:val="22"/>
                <w:szCs w:val="22"/>
              </w:rPr>
              <w:t>e</w:t>
            </w:r>
            <w:r w:rsidR="00F77835">
              <w:rPr>
                <w:rFonts w:ascii="Calibri" w:hAnsi="Calibri"/>
                <w:color w:val="000000" w:themeColor="text1"/>
                <w:sz w:val="22"/>
                <w:szCs w:val="22"/>
              </w:rPr>
              <w:t xml:space="preserve"> par le Directeur National des Mines</w:t>
            </w:r>
            <w:r>
              <w:t xml:space="preserve"> </w:t>
            </w:r>
            <w:r w:rsidRPr="008B75C4">
              <w:rPr>
                <w:rFonts w:ascii="Calibri" w:hAnsi="Calibri"/>
                <w:color w:val="000000" w:themeColor="text1"/>
                <w:sz w:val="22"/>
                <w:szCs w:val="22"/>
              </w:rPr>
              <w:t>à travers ses services déconcentrés</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79E24C2D" w:rsidR="007E7288" w:rsidRPr="005D0E14" w:rsidRDefault="008B75C4" w:rsidP="00491079">
            <w:pPr>
              <w:spacing w:before="80"/>
              <w:rPr>
                <w:rFonts w:ascii="Calibri" w:hAnsi="Calibri"/>
                <w:color w:val="000000" w:themeColor="text1"/>
                <w:sz w:val="22"/>
                <w:szCs w:val="22"/>
              </w:rPr>
            </w:pPr>
            <w:r w:rsidRPr="008B75C4">
              <w:rPr>
                <w:rFonts w:ascii="Calibri" w:hAnsi="Calibri"/>
                <w:color w:val="000000" w:themeColor="text1"/>
                <w:sz w:val="22"/>
                <w:szCs w:val="22"/>
              </w:rPr>
              <w:t>Droit de rechercher toutes les substances de carrières sur la superficie pour laquelle elle est délivrée</w:t>
            </w:r>
          </w:p>
        </w:tc>
      </w:tr>
      <w:tr w:rsidR="00EB444C" w:rsidRPr="0061181A" w14:paraId="61A57150" w14:textId="77777777" w:rsidTr="0061181A">
        <w:trPr>
          <w:trHeight w:val="1443"/>
        </w:trPr>
        <w:tc>
          <w:tcPr>
            <w:tcW w:w="2554" w:type="dxa"/>
            <w:vAlign w:val="center"/>
          </w:tcPr>
          <w:p w14:paraId="24329B8B" w14:textId="4AE7205F"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58D0B0C5" w14:textId="7C515509" w:rsidR="008B75C4" w:rsidRPr="008B75C4" w:rsidRDefault="008B75C4" w:rsidP="008B75C4">
            <w:pPr>
              <w:pStyle w:val="Paragraphedeliste"/>
              <w:numPr>
                <w:ilvl w:val="0"/>
                <w:numId w:val="22"/>
              </w:numPr>
              <w:spacing w:before="80"/>
              <w:rPr>
                <w:rFonts w:ascii="Calibri" w:hAnsi="Calibri"/>
                <w:color w:val="000000" w:themeColor="text1"/>
                <w:sz w:val="22"/>
                <w:szCs w:val="22"/>
              </w:rPr>
            </w:pPr>
            <w:r w:rsidRPr="008B75C4">
              <w:rPr>
                <w:rFonts w:ascii="Calibri" w:hAnsi="Calibri"/>
                <w:color w:val="000000" w:themeColor="text1"/>
                <w:sz w:val="22"/>
                <w:szCs w:val="22"/>
              </w:rPr>
              <w:t>Code Minier (article 46)</w:t>
            </w:r>
          </w:p>
          <w:p w14:paraId="4485F219" w14:textId="67326354" w:rsidR="00FE40EF" w:rsidRPr="004915E6" w:rsidRDefault="008B75C4" w:rsidP="008B75C4">
            <w:pPr>
              <w:pStyle w:val="Paragraphedeliste"/>
              <w:numPr>
                <w:ilvl w:val="0"/>
                <w:numId w:val="22"/>
              </w:numPr>
              <w:spacing w:before="80"/>
              <w:rPr>
                <w:rFonts w:ascii="Calibri" w:hAnsi="Calibri"/>
                <w:color w:val="000000" w:themeColor="text1"/>
                <w:sz w:val="22"/>
                <w:szCs w:val="22"/>
              </w:rPr>
            </w:pPr>
            <w:r w:rsidRPr="008B75C4">
              <w:rPr>
                <w:rFonts w:ascii="Calibri" w:hAnsi="Calibri"/>
                <w:color w:val="000000" w:themeColor="text1"/>
                <w:sz w:val="22"/>
                <w:szCs w:val="22"/>
              </w:rPr>
              <w:t>Code de la Forêt (article 80)</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4EE7C4F3" w:rsidR="003B1A64" w:rsidRPr="0061181A" w:rsidRDefault="008B75C4" w:rsidP="000356B2">
            <w:pPr>
              <w:spacing w:before="80"/>
              <w:contextualSpacing w:val="0"/>
              <w:rPr>
                <w:rFonts w:ascii="Calibri" w:hAnsi="Calibri"/>
                <w:color w:val="000000" w:themeColor="text1"/>
                <w:sz w:val="22"/>
                <w:szCs w:val="22"/>
              </w:rPr>
            </w:pPr>
            <w:r w:rsidRPr="008B75C4">
              <w:rPr>
                <w:rFonts w:ascii="Calibri" w:hAnsi="Calibri"/>
                <w:color w:val="000000" w:themeColor="text1"/>
                <w:sz w:val="22"/>
                <w:szCs w:val="22"/>
              </w:rPr>
              <w:t>1 an renouvelable 2 fois</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3D1EB831" w:rsidR="00F44883" w:rsidRPr="005D4BC2" w:rsidRDefault="008B75C4" w:rsidP="00F44883">
            <w:pPr>
              <w:rPr>
                <w:rFonts w:ascii="Calibri" w:hAnsi="Calibri"/>
                <w:color w:val="000000" w:themeColor="text1"/>
                <w:sz w:val="22"/>
                <w:szCs w:val="22"/>
              </w:rPr>
            </w:pPr>
            <w:r>
              <w:rPr>
                <w:rFonts w:ascii="Calibri" w:hAnsi="Calibri"/>
                <w:color w:val="000000" w:themeColor="text1"/>
                <w:sz w:val="22"/>
                <w:szCs w:val="22"/>
              </w:rPr>
              <w:t>F</w:t>
            </w:r>
            <w:r w:rsidRPr="008B75C4">
              <w:rPr>
                <w:rFonts w:ascii="Calibri" w:hAnsi="Calibri"/>
                <w:color w:val="000000" w:themeColor="text1"/>
                <w:sz w:val="22"/>
                <w:szCs w:val="22"/>
              </w:rPr>
              <w:t>rais d’instruction (USD 500) et des frais de timbre (proportionnels : USD 2500/ état)</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5BAF6610" w14:textId="46AC4673" w:rsidR="00703F1A" w:rsidRPr="00F77835" w:rsidRDefault="00703F1A" w:rsidP="00F77835">
            <w:pPr>
              <w:pStyle w:val="Paragraphedeliste"/>
              <w:numPr>
                <w:ilvl w:val="0"/>
                <w:numId w:val="28"/>
              </w:numPr>
              <w:rPr>
                <w:rFonts w:ascii="Calibri" w:hAnsi="Calibri"/>
                <w:sz w:val="22"/>
                <w:szCs w:val="22"/>
              </w:rPr>
            </w:pPr>
            <w:r>
              <w:rPr>
                <w:rFonts w:ascii="Calibri" w:hAnsi="Calibri"/>
                <w:sz w:val="22"/>
                <w:szCs w:val="22"/>
              </w:rPr>
              <w:t>Etre titulaire d’un titre minier</w:t>
            </w:r>
          </w:p>
        </w:tc>
        <w:tc>
          <w:tcPr>
            <w:tcW w:w="5671" w:type="dxa"/>
            <w:vAlign w:val="center"/>
          </w:tcPr>
          <w:p w14:paraId="72EB481B" w14:textId="4F3D7A86" w:rsidR="00F77835" w:rsidRPr="00703F1A" w:rsidRDefault="00F77835" w:rsidP="008B75C4">
            <w:pPr>
              <w:pStyle w:val="TexteNodalis"/>
              <w:rPr>
                <w:szCs w:val="22"/>
              </w:rPr>
            </w:pP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E55A9A">
        <w:trPr>
          <w:trHeight w:val="63"/>
        </w:trPr>
        <w:tc>
          <w:tcPr>
            <w:tcW w:w="5670" w:type="dxa"/>
            <w:gridSpan w:val="2"/>
            <w:vAlign w:val="center"/>
          </w:tcPr>
          <w:p w14:paraId="7F7284E7" w14:textId="77777777" w:rsidR="008B75C4" w:rsidRDefault="008B75C4" w:rsidP="008B75C4">
            <w:pPr>
              <w:pStyle w:val="TexteNodalis"/>
            </w:pPr>
            <w:r w:rsidRPr="008B75C4">
              <w:rPr>
                <w:b/>
              </w:rPr>
              <w:t>Promoteur</w:t>
            </w:r>
            <w:r>
              <w:t> : envoie une demande d’autorisation de recherche de carrière au Secrétariat Permanant.</w:t>
            </w:r>
          </w:p>
          <w:p w14:paraId="2FB1C759" w14:textId="77777777" w:rsidR="008B75C4" w:rsidRDefault="008B75C4" w:rsidP="008B75C4">
            <w:pPr>
              <w:pStyle w:val="TexteNodalis"/>
            </w:pPr>
            <w:r>
              <w:t>Secrétariat Permanant : transmet la demande à la DNM</w:t>
            </w:r>
          </w:p>
          <w:p w14:paraId="6B4BABC4" w14:textId="77777777" w:rsidR="008B75C4" w:rsidRDefault="008B75C4" w:rsidP="008B75C4">
            <w:pPr>
              <w:pStyle w:val="TexteNodalis"/>
            </w:pPr>
            <w:r w:rsidRPr="008B75C4">
              <w:rPr>
                <w:b/>
              </w:rPr>
              <w:t>DNM</w:t>
            </w:r>
            <w:r>
              <w:t xml:space="preserve"> : vérifie le cadastre minier auprès du CPDM et effectue une demande de visite sur site. </w:t>
            </w:r>
          </w:p>
          <w:p w14:paraId="71D654D9" w14:textId="0160784A" w:rsidR="008B75C4" w:rsidRDefault="008B75C4" w:rsidP="008B75C4">
            <w:pPr>
              <w:pStyle w:val="TexteNodalis"/>
            </w:pPr>
            <w:r w:rsidRPr="008B75C4">
              <w:rPr>
                <w:b/>
              </w:rPr>
              <w:t>Directeur préfectoral</w:t>
            </w:r>
            <w:r>
              <w:rPr>
                <w:b/>
              </w:rPr>
              <w:t xml:space="preserve"> (ou l’un de ses secrétaires généraux)</w:t>
            </w:r>
            <w:r>
              <w:t xml:space="preserve"> : vise l’ordre de mission de visite sur site. </w:t>
            </w:r>
          </w:p>
          <w:p w14:paraId="2216697A" w14:textId="411D21DD" w:rsidR="008B75C4" w:rsidRDefault="008B75C4" w:rsidP="008B75C4">
            <w:pPr>
              <w:pStyle w:val="TexteNodalis"/>
            </w:pPr>
            <w:r w:rsidRPr="008B75C4">
              <w:rPr>
                <w:b/>
              </w:rPr>
              <w:t>DNM :</w:t>
            </w:r>
            <w:r>
              <w:t xml:space="preserve"> effectue la visite sur site et délivre l’autorisation à son retour</w:t>
            </w:r>
          </w:p>
          <w:p w14:paraId="4F2C2588" w14:textId="649501D9" w:rsidR="000356B2" w:rsidRPr="00F77835" w:rsidRDefault="000356B2" w:rsidP="008B75C4">
            <w:pPr>
              <w:pStyle w:val="TexteNodalis"/>
            </w:pPr>
          </w:p>
        </w:tc>
        <w:tc>
          <w:tcPr>
            <w:tcW w:w="5671" w:type="dxa"/>
            <w:vAlign w:val="center"/>
          </w:tcPr>
          <w:p w14:paraId="1B1FCF20" w14:textId="7CB801B4" w:rsidR="00F36430" w:rsidRPr="0061181A" w:rsidRDefault="00703F1A" w:rsidP="008B75C4">
            <w:pPr>
              <w:contextualSpacing w:val="0"/>
              <w:rPr>
                <w:rFonts w:ascii="Calibri" w:hAnsi="Calibri"/>
                <w:sz w:val="22"/>
                <w:szCs w:val="22"/>
              </w:rPr>
            </w:pPr>
            <w:r>
              <w:rPr>
                <w:rFonts w:ascii="Calibri" w:hAnsi="Calibri"/>
                <w:sz w:val="22"/>
                <w:szCs w:val="22"/>
              </w:rPr>
              <w:lastRenderedPageBreak/>
              <w:t xml:space="preserve">Oui. </w:t>
            </w:r>
            <w:r w:rsidR="00E55A9A">
              <w:rPr>
                <w:rFonts w:ascii="Calibri" w:hAnsi="Calibri"/>
                <w:sz w:val="22"/>
                <w:szCs w:val="22"/>
              </w:rPr>
              <w:t xml:space="preserve">Visites </w:t>
            </w:r>
            <w:r w:rsidR="006E680F">
              <w:rPr>
                <w:rFonts w:ascii="Calibri" w:hAnsi="Calibri"/>
                <w:sz w:val="22"/>
                <w:szCs w:val="22"/>
              </w:rPr>
              <w:t>réalisé</w:t>
            </w:r>
            <w:r w:rsidR="00E55A9A">
              <w:rPr>
                <w:rFonts w:ascii="Calibri" w:hAnsi="Calibri"/>
                <w:sz w:val="22"/>
                <w:szCs w:val="22"/>
              </w:rPr>
              <w:t>es</w:t>
            </w:r>
            <w:r w:rsidR="006E680F">
              <w:rPr>
                <w:rFonts w:ascii="Calibri" w:hAnsi="Calibri"/>
                <w:sz w:val="22"/>
                <w:szCs w:val="22"/>
              </w:rPr>
              <w:t xml:space="preserve"> par la DNM</w:t>
            </w:r>
            <w:r w:rsidR="008B75C4">
              <w:rPr>
                <w:rFonts w:ascii="Calibri" w:hAnsi="Calibri"/>
                <w:sz w:val="22"/>
                <w:szCs w:val="22"/>
              </w:rPr>
              <w:t xml:space="preserve"> pendant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lastRenderedPageBreak/>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D63EB28" w:rsidR="00F36430" w:rsidRPr="0061181A" w:rsidRDefault="008B75C4" w:rsidP="008B75C4">
            <w:pPr>
              <w:rPr>
                <w:rFonts w:ascii="Calibri" w:hAnsi="Calibri"/>
                <w:sz w:val="22"/>
                <w:szCs w:val="22"/>
              </w:rPr>
            </w:pPr>
            <w:r w:rsidRPr="008B75C4">
              <w:rPr>
                <w:rFonts w:ascii="Calibri" w:hAnsi="Calibri"/>
                <w:sz w:val="22"/>
                <w:szCs w:val="22"/>
              </w:rPr>
              <w:t xml:space="preserve">Le Code de la Forêt </w:t>
            </w:r>
            <w:r>
              <w:rPr>
                <w:rFonts w:ascii="Calibri" w:hAnsi="Calibri"/>
                <w:sz w:val="22"/>
                <w:szCs w:val="22"/>
              </w:rPr>
              <w:t>(</w:t>
            </w:r>
            <w:r w:rsidRPr="008B75C4">
              <w:rPr>
                <w:rFonts w:ascii="Calibri" w:hAnsi="Calibri"/>
                <w:sz w:val="22"/>
                <w:szCs w:val="22"/>
              </w:rPr>
              <w:t>article 80</w:t>
            </w:r>
            <w:r>
              <w:rPr>
                <w:rFonts w:ascii="Calibri" w:hAnsi="Calibri"/>
                <w:sz w:val="22"/>
                <w:szCs w:val="22"/>
              </w:rPr>
              <w:t>)</w:t>
            </w:r>
            <w:r w:rsidRPr="008B75C4">
              <w:rPr>
                <w:rFonts w:ascii="Calibri" w:hAnsi="Calibri"/>
                <w:sz w:val="22"/>
                <w:szCs w:val="22"/>
              </w:rPr>
              <w:t>, précise qu'une autorisation du Ministère en Charge de forêts est nécessaire pour l'exploitation de carrière si elle est envisagée dans un domaine forestier. Il n'est pas indiqué si le Ministère des forêts et le Ministère des mines se concertent</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2301F8E" w:rsidR="00FA7685" w:rsidRPr="008515F0" w:rsidRDefault="007B488B" w:rsidP="006E680F">
            <w:pPr>
              <w:rPr>
                <w:rFonts w:ascii="Calibri" w:hAnsi="Calibri"/>
                <w:sz w:val="22"/>
                <w:szCs w:val="22"/>
              </w:rPr>
            </w:pPr>
            <w:r>
              <w:rPr>
                <w:rFonts w:ascii="Calibri" w:hAnsi="Calibri"/>
                <w:sz w:val="22"/>
                <w:szCs w:val="22"/>
              </w:rPr>
              <w:t>Néant</w:t>
            </w:r>
            <w:r w:rsidR="000356B2">
              <w:rPr>
                <w:rFonts w:ascii="Calibri" w:hAnsi="Calibri"/>
                <w:sz w:val="22"/>
                <w:szCs w:val="22"/>
              </w:rPr>
              <w:t xml:space="preserve"> </w:t>
            </w:r>
          </w:p>
        </w:tc>
        <w:tc>
          <w:tcPr>
            <w:tcW w:w="5671" w:type="dxa"/>
            <w:vAlign w:val="center"/>
          </w:tcPr>
          <w:p w14:paraId="536AAA44" w14:textId="62148F8B" w:rsidR="00B244DB" w:rsidRPr="0061181A" w:rsidRDefault="007B488B" w:rsidP="0061181A">
            <w:pPr>
              <w:contextualSpacing w:val="0"/>
              <w:rPr>
                <w:rFonts w:ascii="Calibri" w:hAnsi="Calibri"/>
                <w:sz w:val="22"/>
                <w:szCs w:val="22"/>
              </w:rPr>
            </w:pPr>
            <w:r>
              <w:rPr>
                <w:rFonts w:ascii="Calibri" w:hAnsi="Calibri"/>
                <w:sz w:val="22"/>
                <w:szCs w:val="22"/>
              </w:rPr>
              <w:t>Néant</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71BF18B2" w:rsidR="00C71C6B" w:rsidRPr="0061181A" w:rsidRDefault="006E680F"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5C05B6AE" w:rsidR="00974DFD" w:rsidRPr="0061181A" w:rsidRDefault="007B488B" w:rsidP="0061181A">
            <w:pPr>
              <w:rPr>
                <w:rFonts w:ascii="Calibri" w:hAnsi="Calibri"/>
                <w:sz w:val="22"/>
                <w:szCs w:val="22"/>
              </w:rPr>
            </w:pPr>
            <w:r>
              <w:rPr>
                <w:rFonts w:ascii="Calibri" w:hAnsi="Calibri"/>
                <w:sz w:val="22"/>
                <w:szCs w:val="22"/>
              </w:rPr>
              <w:t>Néant</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5D6042CD" w:rsidR="00FA7685" w:rsidRPr="0061181A" w:rsidRDefault="00703F1A" w:rsidP="00C30733">
            <w:pPr>
              <w:rPr>
                <w:rFonts w:ascii="Calibri" w:hAnsi="Calibri"/>
                <w:sz w:val="22"/>
                <w:szCs w:val="22"/>
              </w:rPr>
            </w:pPr>
            <w:r>
              <w:rPr>
                <w:rFonts w:ascii="Calibri" w:hAnsi="Calibri"/>
                <w:color w:val="000000" w:themeColor="text1"/>
                <w:sz w:val="22"/>
                <w:szCs w:val="22"/>
              </w:rPr>
              <w:t>Direction Nationale des Mines</w:t>
            </w:r>
            <w:r w:rsidR="006E680F">
              <w:rPr>
                <w:rFonts w:ascii="Calibri" w:hAnsi="Calibri"/>
                <w:color w:val="000000" w:themeColor="text1"/>
                <w:sz w:val="22"/>
                <w:szCs w:val="22"/>
              </w:rPr>
              <w:t>/</w:t>
            </w:r>
            <w:r w:rsidR="006E680F">
              <w:t xml:space="preserve"> </w:t>
            </w:r>
            <w:r w:rsidR="006E680F" w:rsidRPr="006E680F">
              <w:rPr>
                <w:rFonts w:ascii="Calibri" w:hAnsi="Calibri"/>
                <w:color w:val="000000" w:themeColor="text1"/>
                <w:sz w:val="22"/>
                <w:szCs w:val="22"/>
              </w:rPr>
              <w:t>Laboratoire National de Géologie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1CD456D3" w:rsidR="00B71921" w:rsidRPr="0061181A" w:rsidRDefault="00B764CA" w:rsidP="004915E6">
            <w:pPr>
              <w:rPr>
                <w:rFonts w:ascii="Calibri" w:hAnsi="Calibri"/>
                <w:sz w:val="22"/>
                <w:szCs w:val="22"/>
              </w:rPr>
            </w:pPr>
            <w:r>
              <w:rPr>
                <w:rFonts w:ascii="Calibri" w:hAnsi="Calibri"/>
                <w:sz w:val="22"/>
                <w:szCs w:val="22"/>
              </w:rPr>
              <w:t>NI</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lastRenderedPageBreak/>
              <w:t xml:space="preserve">Commentaires et recommandations du Consultant </w:t>
            </w:r>
          </w:p>
        </w:tc>
        <w:tc>
          <w:tcPr>
            <w:tcW w:w="8787" w:type="dxa"/>
            <w:gridSpan w:val="2"/>
            <w:vAlign w:val="center"/>
          </w:tcPr>
          <w:p w14:paraId="40130E37" w14:textId="396E20FC" w:rsidR="002F0B33" w:rsidRPr="00DB2AEF" w:rsidRDefault="00703F1A" w:rsidP="00703F1A">
            <w:pPr>
              <w:rPr>
                <w:rFonts w:ascii="Calibri" w:eastAsia="Calibri" w:hAnsi="Calibri" w:cs="Calibri"/>
                <w:sz w:val="22"/>
                <w:szCs w:val="22"/>
              </w:rPr>
            </w:pPr>
            <w:r w:rsidRPr="00703F1A">
              <w:rPr>
                <w:rFonts w:ascii="Calibri" w:eastAsia="Calibri" w:hAnsi="Calibri" w:cs="Calibri"/>
                <w:sz w:val="22"/>
                <w:szCs w:val="22"/>
              </w:rPr>
              <w:t xml:space="preserve"> </w:t>
            </w:r>
          </w:p>
        </w:tc>
      </w:tr>
    </w:tbl>
    <w:p w14:paraId="3F144845" w14:textId="77777777" w:rsidR="00B779C1" w:rsidRDefault="00B779C1">
      <w:pPr>
        <w:sectPr w:rsidR="00B779C1">
          <w:footerReference w:type="default" r:id="rId9"/>
          <w:pgSz w:w="11900" w:h="16840"/>
          <w:pgMar w:top="284" w:right="1417" w:bottom="426" w:left="1417" w:header="720" w:footer="720" w:gutter="0"/>
          <w:pgNumType w:start="1"/>
          <w:cols w:space="720"/>
        </w:sectPr>
      </w:pPr>
    </w:p>
    <w:p w14:paraId="70303629" w14:textId="41F157AB" w:rsidR="00B779C1" w:rsidRDefault="008404C7">
      <w:r w:rsidRPr="008404C7">
        <w:drawing>
          <wp:inline distT="0" distB="0" distL="0" distR="0" wp14:anchorId="34A4ECFB" wp14:editId="029D289D">
            <wp:extent cx="6642100" cy="65792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6579201"/>
                    </a:xfrm>
                    <a:prstGeom prst="rect">
                      <a:avLst/>
                    </a:prstGeom>
                    <a:noFill/>
                    <a:ln>
                      <a:noFill/>
                    </a:ln>
                  </pic:spPr>
                </pic:pic>
              </a:graphicData>
            </a:graphic>
          </wp:inline>
        </w:drawing>
      </w:r>
      <w:bookmarkStart w:id="1" w:name="_GoBack"/>
      <w:bookmarkEnd w:id="1"/>
    </w:p>
    <w:p w14:paraId="63977976" w14:textId="62A85E22" w:rsidR="00FA7685" w:rsidRDefault="00FA7685"/>
    <w:sectPr w:rsidR="00FA7685" w:rsidSect="00B779C1">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623D2" w14:textId="77777777" w:rsidR="006D619E" w:rsidRDefault="006D619E" w:rsidP="003B1A64">
      <w:r>
        <w:separator/>
      </w:r>
    </w:p>
  </w:endnote>
  <w:endnote w:type="continuationSeparator" w:id="0">
    <w:p w14:paraId="728349F3" w14:textId="77777777" w:rsidR="006D619E" w:rsidRDefault="006D619E"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77777777" w:rsidR="00F36430" w:rsidRDefault="00F36430">
        <w:pPr>
          <w:pStyle w:val="Pieddepage"/>
          <w:jc w:val="right"/>
        </w:pPr>
        <w:r>
          <w:fldChar w:fldCharType="begin"/>
        </w:r>
        <w:r>
          <w:instrText>PAGE   \* MERGEFORMAT</w:instrText>
        </w:r>
        <w:r>
          <w:fldChar w:fldCharType="separate"/>
        </w:r>
        <w:r w:rsidR="008404C7">
          <w:rPr>
            <w:noProof/>
          </w:rPr>
          <w:t>2</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E3C2F" w14:textId="77777777" w:rsidR="006D619E" w:rsidRDefault="006D619E" w:rsidP="003B1A64">
      <w:r>
        <w:separator/>
      </w:r>
    </w:p>
  </w:footnote>
  <w:footnote w:type="continuationSeparator" w:id="0">
    <w:p w14:paraId="442E905A" w14:textId="77777777" w:rsidR="006D619E" w:rsidRDefault="006D619E"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B281271"/>
    <w:multiLevelType w:val="hybridMultilevel"/>
    <w:tmpl w:val="6E56559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1"/>
  </w:num>
  <w:num w:numId="4">
    <w:abstractNumId w:val="7"/>
  </w:num>
  <w:num w:numId="5">
    <w:abstractNumId w:val="20"/>
  </w:num>
  <w:num w:numId="6">
    <w:abstractNumId w:val="23"/>
  </w:num>
  <w:num w:numId="7">
    <w:abstractNumId w:val="6"/>
  </w:num>
  <w:num w:numId="8">
    <w:abstractNumId w:val="17"/>
  </w:num>
  <w:num w:numId="9">
    <w:abstractNumId w:val="18"/>
  </w:num>
  <w:num w:numId="10">
    <w:abstractNumId w:val="24"/>
  </w:num>
  <w:num w:numId="11">
    <w:abstractNumId w:val="8"/>
  </w:num>
  <w:num w:numId="12">
    <w:abstractNumId w:val="15"/>
  </w:num>
  <w:num w:numId="13">
    <w:abstractNumId w:val="22"/>
  </w:num>
  <w:num w:numId="14">
    <w:abstractNumId w:val="12"/>
  </w:num>
  <w:num w:numId="15">
    <w:abstractNumId w:val="4"/>
  </w:num>
  <w:num w:numId="16">
    <w:abstractNumId w:val="3"/>
  </w:num>
  <w:num w:numId="17">
    <w:abstractNumId w:val="13"/>
  </w:num>
  <w:num w:numId="18">
    <w:abstractNumId w:val="5"/>
  </w:num>
  <w:num w:numId="19">
    <w:abstractNumId w:val="28"/>
  </w:num>
  <w:num w:numId="20">
    <w:abstractNumId w:val="19"/>
  </w:num>
  <w:num w:numId="21">
    <w:abstractNumId w:val="9"/>
  </w:num>
  <w:num w:numId="22">
    <w:abstractNumId w:val="14"/>
  </w:num>
  <w:num w:numId="23">
    <w:abstractNumId w:val="1"/>
  </w:num>
  <w:num w:numId="24">
    <w:abstractNumId w:val="10"/>
  </w:num>
  <w:num w:numId="25">
    <w:abstractNumId w:val="2"/>
  </w:num>
  <w:num w:numId="26">
    <w:abstractNumId w:val="25"/>
  </w:num>
  <w:num w:numId="27">
    <w:abstractNumId w:val="11"/>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40F9"/>
    <w:rsid w:val="000356B2"/>
    <w:rsid w:val="00035FD2"/>
    <w:rsid w:val="000609DC"/>
    <w:rsid w:val="00062FCD"/>
    <w:rsid w:val="00083314"/>
    <w:rsid w:val="000A366E"/>
    <w:rsid w:val="000E21A4"/>
    <w:rsid w:val="0016515A"/>
    <w:rsid w:val="00167059"/>
    <w:rsid w:val="00172A8F"/>
    <w:rsid w:val="00196E44"/>
    <w:rsid w:val="002361C8"/>
    <w:rsid w:val="00283AAB"/>
    <w:rsid w:val="002938F9"/>
    <w:rsid w:val="002B00CB"/>
    <w:rsid w:val="002F0B33"/>
    <w:rsid w:val="002F6DB4"/>
    <w:rsid w:val="00317A46"/>
    <w:rsid w:val="0032470E"/>
    <w:rsid w:val="00367F48"/>
    <w:rsid w:val="00380506"/>
    <w:rsid w:val="003B1A64"/>
    <w:rsid w:val="00407C20"/>
    <w:rsid w:val="00444E86"/>
    <w:rsid w:val="00452015"/>
    <w:rsid w:val="00453724"/>
    <w:rsid w:val="00491079"/>
    <w:rsid w:val="004915E6"/>
    <w:rsid w:val="00514B52"/>
    <w:rsid w:val="00521CE0"/>
    <w:rsid w:val="005605ED"/>
    <w:rsid w:val="005730EE"/>
    <w:rsid w:val="005B39D3"/>
    <w:rsid w:val="005D0E14"/>
    <w:rsid w:val="005D4BC2"/>
    <w:rsid w:val="005E4675"/>
    <w:rsid w:val="0061181A"/>
    <w:rsid w:val="00632B96"/>
    <w:rsid w:val="006726C2"/>
    <w:rsid w:val="00674594"/>
    <w:rsid w:val="006D619E"/>
    <w:rsid w:val="006E680F"/>
    <w:rsid w:val="00703F1A"/>
    <w:rsid w:val="00765578"/>
    <w:rsid w:val="007949F6"/>
    <w:rsid w:val="007B488B"/>
    <w:rsid w:val="007B4DDF"/>
    <w:rsid w:val="007D6319"/>
    <w:rsid w:val="007E5245"/>
    <w:rsid w:val="007E68FB"/>
    <w:rsid w:val="007E7288"/>
    <w:rsid w:val="008404C7"/>
    <w:rsid w:val="008515F0"/>
    <w:rsid w:val="0085262A"/>
    <w:rsid w:val="0086167B"/>
    <w:rsid w:val="008A3B3F"/>
    <w:rsid w:val="008B75C4"/>
    <w:rsid w:val="00924C12"/>
    <w:rsid w:val="009702D7"/>
    <w:rsid w:val="00974DFD"/>
    <w:rsid w:val="00975C66"/>
    <w:rsid w:val="009837C5"/>
    <w:rsid w:val="00A3183C"/>
    <w:rsid w:val="00A46A2A"/>
    <w:rsid w:val="00AB7870"/>
    <w:rsid w:val="00B244DB"/>
    <w:rsid w:val="00B53C55"/>
    <w:rsid w:val="00B71921"/>
    <w:rsid w:val="00B764CA"/>
    <w:rsid w:val="00B779C1"/>
    <w:rsid w:val="00BD3B30"/>
    <w:rsid w:val="00BE6C22"/>
    <w:rsid w:val="00C063DA"/>
    <w:rsid w:val="00C30733"/>
    <w:rsid w:val="00C30BE3"/>
    <w:rsid w:val="00C71C6B"/>
    <w:rsid w:val="00CA09ED"/>
    <w:rsid w:val="00CC2184"/>
    <w:rsid w:val="00CD0CBA"/>
    <w:rsid w:val="00D54E78"/>
    <w:rsid w:val="00D55422"/>
    <w:rsid w:val="00D925AA"/>
    <w:rsid w:val="00DB2AEF"/>
    <w:rsid w:val="00DB4E26"/>
    <w:rsid w:val="00DE0E86"/>
    <w:rsid w:val="00E0599F"/>
    <w:rsid w:val="00E55A9A"/>
    <w:rsid w:val="00E73856"/>
    <w:rsid w:val="00E763ED"/>
    <w:rsid w:val="00EB444C"/>
    <w:rsid w:val="00EB7374"/>
    <w:rsid w:val="00EC7039"/>
    <w:rsid w:val="00F00DD8"/>
    <w:rsid w:val="00F0798C"/>
    <w:rsid w:val="00F27542"/>
    <w:rsid w:val="00F36430"/>
    <w:rsid w:val="00F44883"/>
    <w:rsid w:val="00F51F63"/>
    <w:rsid w:val="00F718F4"/>
    <w:rsid w:val="00F77835"/>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C099-D65F-4EE3-B819-EE568DE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558</Words>
  <Characters>3069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dcterms:created xsi:type="dcterms:W3CDTF">2016-12-12T14:41:00Z</dcterms:created>
  <dcterms:modified xsi:type="dcterms:W3CDTF">2017-02-13T15:13:00Z</dcterms:modified>
</cp:coreProperties>
</file>