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2AD68A0E" w:rsidR="00FA7685" w:rsidRDefault="00317A46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Direction Nationale des Mines (DNM)</w:t>
      </w:r>
    </w:p>
    <w:p w14:paraId="768D43C2" w14:textId="77777777" w:rsidR="00FA7685" w:rsidRDefault="00FA7685">
      <w:pPr>
        <w:jc w:val="center"/>
      </w:pPr>
    </w:p>
    <w:p w14:paraId="23BC4A9E" w14:textId="14069D06" w:rsidR="00703F1A" w:rsidRDefault="00F77835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Permis de tir</w:t>
      </w:r>
    </w:p>
    <w:p w14:paraId="2034FDC3" w14:textId="77777777" w:rsidR="00491079" w:rsidRPr="00EB444C" w:rsidRDefault="00491079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6C913765" w:rsidR="00FA7685" w:rsidRPr="0061181A" w:rsidRDefault="00F77835" w:rsidP="0049107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Permis délivré par le Directeur National des Mines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4C12B469" w:rsidR="007E7288" w:rsidRPr="005D0E14" w:rsidRDefault="0016515A" w:rsidP="00491079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Tir d’explosif</w:t>
            </w:r>
            <w:r w:rsidR="00F51F63">
              <w:rPr>
                <w:rFonts w:ascii="Calibri" w:hAnsi="Calibri"/>
                <w:color w:val="000000" w:themeColor="text1"/>
                <w:sz w:val="22"/>
                <w:szCs w:val="22"/>
              </w:rPr>
              <w:t>s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4AE7205F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43AC68A4" w14:textId="53F7ACD8" w:rsidR="00F77835" w:rsidRDefault="006A5515" w:rsidP="00F77835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Application de la r</w:t>
            </w:r>
            <w:r w:rsidR="00F7783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èglementation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technique </w:t>
            </w:r>
            <w:r w:rsidR="00F77835">
              <w:rPr>
                <w:rFonts w:ascii="Calibri" w:hAnsi="Calibri"/>
                <w:color w:val="000000" w:themeColor="text1"/>
                <w:sz w:val="22"/>
                <w:szCs w:val="22"/>
              </w:rPr>
              <w:t>française</w:t>
            </w:r>
          </w:p>
          <w:p w14:paraId="4485F219" w14:textId="3362CAB8" w:rsidR="00FE40EF" w:rsidRPr="004915E6" w:rsidRDefault="006A5515" w:rsidP="00F77835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Arrêté conjoint </w:t>
            </w:r>
            <w:r w:rsidR="00F77835" w:rsidRPr="00F77835">
              <w:rPr>
                <w:rFonts w:ascii="Calibri" w:hAnsi="Calibri"/>
                <w:color w:val="000000" w:themeColor="text1"/>
                <w:sz w:val="22"/>
                <w:szCs w:val="22"/>
              </w:rPr>
              <w:t>A/12/N505/MMG/MS fixant les conditions d'application de l’article 148 du Code Minier</w:t>
            </w:r>
          </w:p>
        </w:tc>
      </w:tr>
      <w:tr w:rsidR="00EB444C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7D4B4F30" w:rsidR="00CC2184" w:rsidRPr="0061181A" w:rsidRDefault="00BF7D59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A5515">
              <w:rPr>
                <w:rFonts w:ascii="Calibri" w:hAnsi="Calibri"/>
                <w:color w:val="000000" w:themeColor="text1"/>
                <w:sz w:val="22"/>
                <w:szCs w:val="22"/>
              </w:rPr>
              <w:t>8</w:t>
            </w:r>
            <w:r w:rsidR="006A551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6A5515">
              <w:rPr>
                <w:rFonts w:ascii="Calibri" w:hAnsi="Calibri"/>
                <w:color w:val="000000" w:themeColor="text1"/>
                <w:sz w:val="22"/>
                <w:szCs w:val="22"/>
              </w:rPr>
              <w:t>h</w:t>
            </w:r>
            <w:r w:rsidR="006A551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eures </w:t>
            </w:r>
          </w:p>
        </w:tc>
      </w:tr>
      <w:tr w:rsidR="003B1A64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4C69515A" w:rsidR="003B1A64" w:rsidRPr="0061181A" w:rsidRDefault="00491079" w:rsidP="000356B2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 an</w:t>
            </w:r>
            <w:r w:rsidR="000E21A4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B444C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53818AD6" w:rsidR="00F44883" w:rsidRPr="005D4BC2" w:rsidRDefault="00703F1A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 payant</w:t>
            </w:r>
            <w:r w:rsidR="0037318F" w:rsidRPr="006A5515">
              <w:rPr>
                <w:rFonts w:ascii="Calibri" w:hAnsi="Calibri"/>
                <w:color w:val="000000" w:themeColor="text1"/>
                <w:sz w:val="22"/>
                <w:szCs w:val="22"/>
              </w:rPr>
              <w:t>. L</w:t>
            </w:r>
            <w:r w:rsidR="00BF7D59" w:rsidRPr="006A5515">
              <w:rPr>
                <w:rFonts w:ascii="Calibri" w:hAnsi="Calibri"/>
                <w:color w:val="000000" w:themeColor="text1"/>
                <w:sz w:val="22"/>
                <w:szCs w:val="22"/>
              </w:rPr>
              <w:t>’enquête de moralité et</w:t>
            </w:r>
            <w:r w:rsidR="006A551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la visite</w:t>
            </w:r>
            <w:r w:rsidR="00BF7D59" w:rsidRPr="006A551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du site de dynamitage reste à la charge du promoteur</w:t>
            </w:r>
            <w:r w:rsidR="0037318F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 w:rsidR="00BF7D5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75F7845F" w:rsidR="00703F1A" w:rsidRPr="00F77835" w:rsidRDefault="00703F1A" w:rsidP="00F77835">
            <w:pPr>
              <w:pStyle w:val="Paragraphedeliste"/>
              <w:numPr>
                <w:ilvl w:val="0"/>
                <w:numId w:val="2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Etre titulaire d’un titre minier</w:t>
            </w:r>
            <w:r w:rsidR="00BB726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B7269" w:rsidRPr="006A5515">
              <w:rPr>
                <w:rFonts w:ascii="Calibri" w:hAnsi="Calibri"/>
                <w:sz w:val="22"/>
                <w:szCs w:val="22"/>
              </w:rPr>
              <w:t>(Voir formulaire)</w:t>
            </w:r>
          </w:p>
        </w:tc>
        <w:tc>
          <w:tcPr>
            <w:tcW w:w="5671" w:type="dxa"/>
            <w:vAlign w:val="center"/>
          </w:tcPr>
          <w:p w14:paraId="39866B98" w14:textId="77777777" w:rsidR="005D0E14" w:rsidRDefault="00F77835" w:rsidP="00F77835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Pr="00F77835">
              <w:rPr>
                <w:rFonts w:ascii="Calibri" w:hAnsi="Calibri"/>
                <w:sz w:val="22"/>
                <w:szCs w:val="22"/>
              </w:rPr>
              <w:t xml:space="preserve">ormulaire </w:t>
            </w:r>
            <w:r>
              <w:rPr>
                <w:rFonts w:ascii="Calibri" w:hAnsi="Calibri"/>
                <w:sz w:val="22"/>
                <w:szCs w:val="22"/>
              </w:rPr>
              <w:t xml:space="preserve">de demande à </w:t>
            </w:r>
            <w:r w:rsidRPr="00F77835">
              <w:rPr>
                <w:rFonts w:ascii="Calibri" w:hAnsi="Calibri"/>
                <w:sz w:val="22"/>
                <w:szCs w:val="22"/>
              </w:rPr>
              <w:t>rempli</w:t>
            </w:r>
            <w:r>
              <w:rPr>
                <w:rFonts w:ascii="Calibri" w:hAnsi="Calibri"/>
                <w:sz w:val="22"/>
                <w:szCs w:val="22"/>
              </w:rPr>
              <w:t>r</w:t>
            </w:r>
            <w:r w:rsidRPr="00F77835">
              <w:rPr>
                <w:rFonts w:ascii="Calibri" w:hAnsi="Calibri"/>
                <w:sz w:val="22"/>
                <w:szCs w:val="22"/>
              </w:rPr>
              <w:t xml:space="preserve"> par l’employeur</w:t>
            </w:r>
            <w:r>
              <w:rPr>
                <w:rFonts w:ascii="Calibri" w:hAnsi="Calibri"/>
                <w:sz w:val="22"/>
                <w:szCs w:val="22"/>
              </w:rPr>
              <w:t>/le promoteur</w:t>
            </w:r>
          </w:p>
          <w:p w14:paraId="1148E000" w14:textId="77777777" w:rsidR="00F77835" w:rsidRDefault="00F77835" w:rsidP="00F77835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 w:rsidRPr="00F77835">
              <w:rPr>
                <w:rFonts w:ascii="Calibri" w:hAnsi="Calibri"/>
                <w:sz w:val="22"/>
                <w:szCs w:val="22"/>
              </w:rPr>
              <w:t xml:space="preserve">Quatre photos d’identité </w:t>
            </w:r>
          </w:p>
          <w:p w14:paraId="72EB481B" w14:textId="3884003F" w:rsidR="00F77835" w:rsidRPr="00703F1A" w:rsidRDefault="00F77835" w:rsidP="00F77835">
            <w:pPr>
              <w:pStyle w:val="Paragraphedeliste"/>
              <w:numPr>
                <w:ilvl w:val="0"/>
                <w:numId w:val="27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F77835">
              <w:rPr>
                <w:rFonts w:ascii="Calibri" w:hAnsi="Calibri"/>
                <w:sz w:val="22"/>
                <w:szCs w:val="22"/>
              </w:rPr>
              <w:t xml:space="preserve">ertificat de résidence </w:t>
            </w: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77D1962E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4917B43B" w14:textId="5BB0A211" w:rsidR="00F77835" w:rsidRDefault="00F77835" w:rsidP="00F77835">
            <w:pPr>
              <w:pStyle w:val="TexteNodalis"/>
            </w:pPr>
            <w:r w:rsidRPr="00F77835">
              <w:rPr>
                <w:b/>
              </w:rPr>
              <w:t>Promoteur</w:t>
            </w:r>
            <w:r>
              <w:t xml:space="preserve"> : adresse une demande de permis de tir à la Direction Nationale des Mines et l’accompagne du formulaire rempli et des documents à inclure dans le dossier.  Cette demande fait office de déclaration d’engagement de l’employeur de l’aptitude de son employé à exercer des activités de boutefeu. </w:t>
            </w:r>
          </w:p>
          <w:p w14:paraId="14F89236" w14:textId="6F807CAA" w:rsidR="00F77835" w:rsidRDefault="00F77835" w:rsidP="00F77835">
            <w:pPr>
              <w:pStyle w:val="TexteNodalis"/>
            </w:pPr>
            <w:r w:rsidRPr="00F77835">
              <w:rPr>
                <w:b/>
              </w:rPr>
              <w:t>DNM</w:t>
            </w:r>
            <w:r>
              <w:t> : étudie le dossier</w:t>
            </w:r>
          </w:p>
          <w:p w14:paraId="1F0DDA0A" w14:textId="77777777" w:rsidR="00F77835" w:rsidRDefault="00F77835" w:rsidP="00F77835">
            <w:pPr>
              <w:pStyle w:val="TexteNodalis"/>
            </w:pPr>
          </w:p>
          <w:p w14:paraId="42BCC04F" w14:textId="7C495D79" w:rsidR="000356B2" w:rsidRDefault="000356B2" w:rsidP="00F77835">
            <w:pPr>
              <w:pStyle w:val="TexteNodalis"/>
            </w:pPr>
            <w:r>
              <w:lastRenderedPageBreak/>
              <w:t xml:space="preserve">Le </w:t>
            </w:r>
            <w:r w:rsidRPr="000356B2">
              <w:t xml:space="preserve">Haut-Commissariat de la Gendarmerie </w:t>
            </w:r>
            <w:r>
              <w:t>et le</w:t>
            </w:r>
            <w:r w:rsidRPr="000356B2">
              <w:t xml:space="preserve"> Ministère de l’Intérieur</w:t>
            </w:r>
            <w:r>
              <w:t xml:space="preserve"> sont informés de la délivrance du permis de tir. </w:t>
            </w:r>
          </w:p>
          <w:p w14:paraId="1EFAFAFC" w14:textId="77777777" w:rsidR="000356B2" w:rsidRDefault="000356B2" w:rsidP="00F77835">
            <w:pPr>
              <w:pStyle w:val="TexteNodalis"/>
            </w:pPr>
          </w:p>
          <w:p w14:paraId="387358BA" w14:textId="5E2A7C9A" w:rsidR="000356B2" w:rsidRDefault="000356B2" w:rsidP="00F77835">
            <w:pPr>
              <w:pStyle w:val="TexteNodalis"/>
            </w:pPr>
            <w:r>
              <w:t>Le promoteur dispose de 72h pour informer la DNM qu’il</w:t>
            </w:r>
            <w:r w:rsidR="00F77835">
              <w:t xml:space="preserve"> a cessé d’employer le boutefeu</w:t>
            </w:r>
            <w:r>
              <w:t xml:space="preserve"> </w:t>
            </w:r>
            <w:r w:rsidR="00F77835">
              <w:t>et lui retourner la carte individuelle</w:t>
            </w:r>
            <w:r>
              <w:t>.</w:t>
            </w:r>
          </w:p>
          <w:p w14:paraId="54E7B7FF" w14:textId="77777777" w:rsidR="000356B2" w:rsidRDefault="000356B2" w:rsidP="002361C8">
            <w:pPr>
              <w:pStyle w:val="TexteNodalis"/>
            </w:pPr>
          </w:p>
          <w:p w14:paraId="7945C9A6" w14:textId="77777777" w:rsidR="000356B2" w:rsidRPr="000356B2" w:rsidRDefault="000356B2" w:rsidP="002361C8">
            <w:pPr>
              <w:pStyle w:val="TexteNodalis"/>
              <w:rPr>
                <w:b/>
                <w:u w:val="single"/>
              </w:rPr>
            </w:pPr>
            <w:r w:rsidRPr="000356B2">
              <w:rPr>
                <w:b/>
                <w:u w:val="single"/>
              </w:rPr>
              <w:t>Pour le renouvellement :</w:t>
            </w:r>
          </w:p>
          <w:p w14:paraId="02741608" w14:textId="77777777" w:rsidR="000356B2" w:rsidRDefault="000356B2" w:rsidP="000356B2">
            <w:pPr>
              <w:pStyle w:val="TexteNodalis"/>
            </w:pPr>
            <w:r w:rsidRPr="000356B2">
              <w:rPr>
                <w:b/>
              </w:rPr>
              <w:t>D</w:t>
            </w:r>
            <w:r w:rsidR="00F77835" w:rsidRPr="000356B2">
              <w:rPr>
                <w:b/>
              </w:rPr>
              <w:t>NM</w:t>
            </w:r>
            <w:r>
              <w:t xml:space="preserve"> : </w:t>
            </w:r>
            <w:r w:rsidR="00F77835">
              <w:t xml:space="preserve">informe </w:t>
            </w:r>
            <w:r>
              <w:t xml:space="preserve">le Promoteur </w:t>
            </w:r>
            <w:r w:rsidR="00F77835">
              <w:t xml:space="preserve">de l’expiration prochaine du permis de tir </w:t>
            </w:r>
            <w:r>
              <w:t xml:space="preserve">(environ </w:t>
            </w:r>
            <w:r w:rsidR="00F77835">
              <w:t>un mois avant</w:t>
            </w:r>
            <w:r>
              <w:t>)</w:t>
            </w:r>
            <w:r w:rsidR="00F77835">
              <w:t xml:space="preserve">. </w:t>
            </w:r>
          </w:p>
          <w:p w14:paraId="4F2C2588" w14:textId="34A4FC64" w:rsidR="000356B2" w:rsidRPr="00F77835" w:rsidRDefault="000356B2" w:rsidP="000356B2">
            <w:pPr>
              <w:pStyle w:val="TexteNodalis"/>
            </w:pPr>
            <w:r w:rsidRPr="000356B2">
              <w:rPr>
                <w:b/>
              </w:rPr>
              <w:t>Promoteur :</w:t>
            </w:r>
            <w:r>
              <w:t xml:space="preserve"> doit effectuer une </w:t>
            </w:r>
            <w:r w:rsidR="00F77835">
              <w:t xml:space="preserve">demande de renouvellement </w:t>
            </w:r>
            <w:r>
              <w:t>et l’accompagner</w:t>
            </w:r>
            <w:r w:rsidR="00F77835">
              <w:t xml:space="preserve"> d’un courrier d’engagement de l’employeur</w:t>
            </w:r>
            <w:r>
              <w:t xml:space="preserve"> et des mêmes pièces que pour la demande d’autorisation initiale. </w:t>
            </w:r>
            <w:r w:rsidR="00F77835">
              <w:t xml:space="preserve">Les certificats de visite et de contrevisite doivent </w:t>
            </w:r>
            <w:r>
              <w:t xml:space="preserve">également </w:t>
            </w:r>
            <w:r w:rsidR="00F77835">
              <w:t>accompagner la demande de renouvellement</w:t>
            </w:r>
            <w:r>
              <w:t xml:space="preserve">. </w:t>
            </w:r>
            <w:r w:rsidR="00F77835">
              <w:t>Le délai de renouvellement est de quelques heures et n’est assorti à aucun frais.</w:t>
            </w:r>
          </w:p>
        </w:tc>
        <w:tc>
          <w:tcPr>
            <w:tcW w:w="5671" w:type="dxa"/>
            <w:vAlign w:val="center"/>
          </w:tcPr>
          <w:p w14:paraId="07A08F78" w14:textId="77777777" w:rsidR="00F36430" w:rsidRDefault="00703F1A" w:rsidP="000356B2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Oui. </w:t>
            </w:r>
            <w:r w:rsidR="000356B2">
              <w:rPr>
                <w:rFonts w:ascii="Calibri" w:hAnsi="Calibri"/>
                <w:sz w:val="22"/>
                <w:szCs w:val="22"/>
              </w:rPr>
              <w:t>La DNM effectue une</w:t>
            </w:r>
            <w:r w:rsidR="000356B2" w:rsidRPr="000356B2">
              <w:rPr>
                <w:rFonts w:ascii="Calibri" w:hAnsi="Calibri"/>
                <w:sz w:val="22"/>
                <w:szCs w:val="22"/>
              </w:rPr>
              <w:t xml:space="preserve"> visite et</w:t>
            </w:r>
            <w:r w:rsidR="000356B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356B2" w:rsidRPr="000356B2">
              <w:rPr>
                <w:rFonts w:ascii="Calibri" w:hAnsi="Calibri"/>
                <w:sz w:val="22"/>
                <w:szCs w:val="22"/>
              </w:rPr>
              <w:t>une contrevisite pour</w:t>
            </w:r>
            <w:r w:rsidR="000356B2">
              <w:rPr>
                <w:rFonts w:ascii="Calibri" w:hAnsi="Calibri"/>
                <w:sz w:val="22"/>
                <w:szCs w:val="22"/>
              </w:rPr>
              <w:t xml:space="preserve"> valider l’aptitude du boutefeu</w:t>
            </w:r>
            <w:r w:rsidR="000356B2" w:rsidRPr="000356B2">
              <w:rPr>
                <w:rFonts w:ascii="Calibri" w:hAnsi="Calibri"/>
                <w:sz w:val="22"/>
                <w:szCs w:val="22"/>
              </w:rPr>
              <w:t>.</w:t>
            </w:r>
          </w:p>
          <w:p w14:paraId="1B1FCF20" w14:textId="25AF54B6" w:rsidR="00BB7269" w:rsidRPr="0061181A" w:rsidRDefault="005E672D" w:rsidP="00E24F0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E24F0A">
              <w:rPr>
                <w:rFonts w:ascii="Calibri" w:hAnsi="Calibri"/>
                <w:sz w:val="22"/>
                <w:szCs w:val="22"/>
              </w:rPr>
              <w:t xml:space="preserve">Frais de mission 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5156DB5F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418D81E8" w:rsidR="00B244DB" w:rsidRPr="00B764CA" w:rsidRDefault="00703F1A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  <w:vAlign w:val="center"/>
          </w:tcPr>
          <w:p w14:paraId="379834AB" w14:textId="6B5BBCFD" w:rsidR="00F36430" w:rsidRPr="0061181A" w:rsidRDefault="000356B2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16C8D791" w:rsidR="00FA7685" w:rsidRPr="008515F0" w:rsidRDefault="006A5515" w:rsidP="000356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Oui </w:t>
            </w:r>
          </w:p>
        </w:tc>
        <w:tc>
          <w:tcPr>
            <w:tcW w:w="5671" w:type="dxa"/>
            <w:vAlign w:val="center"/>
          </w:tcPr>
          <w:p w14:paraId="536AAA44" w14:textId="21112D4E" w:rsidR="00B244DB" w:rsidRPr="0061181A" w:rsidRDefault="006A5515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Oui 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2BD1429C" w:rsidR="00C71C6B" w:rsidRPr="0061181A" w:rsidRDefault="0016515A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Permis</w:t>
            </w:r>
          </w:p>
        </w:tc>
        <w:tc>
          <w:tcPr>
            <w:tcW w:w="5671" w:type="dxa"/>
            <w:vAlign w:val="center"/>
          </w:tcPr>
          <w:p w14:paraId="2AC94984" w14:textId="29BB4EDB" w:rsidR="00974DFD" w:rsidRPr="0061181A" w:rsidRDefault="00BB7269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A5515">
              <w:rPr>
                <w:rFonts w:ascii="Calibri" w:hAnsi="Calibri"/>
                <w:sz w:val="22"/>
                <w:szCs w:val="22"/>
              </w:rPr>
              <w:t xml:space="preserve">Oui 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FA7685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 w:rsidRPr="0061181A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>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3E5F6C75" w:rsidR="00FA7685" w:rsidRPr="0061181A" w:rsidRDefault="00703F1A" w:rsidP="00C3073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Direction Nationale des Mines</w:t>
            </w:r>
          </w:p>
        </w:tc>
      </w:tr>
      <w:tr w:rsidR="00FA7685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Personne en charge</w:t>
            </w:r>
            <w:r w:rsidR="00172A8F"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 et titre </w:t>
            </w:r>
          </w:p>
        </w:tc>
        <w:tc>
          <w:tcPr>
            <w:tcW w:w="8787" w:type="dxa"/>
            <w:gridSpan w:val="2"/>
            <w:vAlign w:val="center"/>
          </w:tcPr>
          <w:p w14:paraId="63F091F0" w14:textId="472B2DC3" w:rsidR="00BB7269" w:rsidRPr="00772B10" w:rsidRDefault="00BB7269" w:rsidP="004915E6">
            <w:pPr>
              <w:rPr>
                <w:rFonts w:ascii="Calibri" w:hAnsi="Calibri"/>
                <w:sz w:val="22"/>
                <w:szCs w:val="22"/>
              </w:rPr>
            </w:pPr>
            <w:r w:rsidRPr="00772B10">
              <w:rPr>
                <w:rFonts w:ascii="Calibri" w:hAnsi="Calibri"/>
                <w:sz w:val="22"/>
                <w:szCs w:val="22"/>
              </w:rPr>
              <w:t xml:space="preserve">Coulibaly </w:t>
            </w:r>
            <w:proofErr w:type="spellStart"/>
            <w:r w:rsidRPr="00772B10">
              <w:rPr>
                <w:rFonts w:ascii="Calibri" w:hAnsi="Calibri"/>
                <w:sz w:val="22"/>
                <w:szCs w:val="22"/>
              </w:rPr>
              <w:t>Adama</w:t>
            </w:r>
            <w:proofErr w:type="spellEnd"/>
            <w:r w:rsidRPr="00772B10">
              <w:rPr>
                <w:rFonts w:ascii="Calibri" w:hAnsi="Calibri"/>
                <w:sz w:val="22"/>
                <w:szCs w:val="22"/>
              </w:rPr>
              <w:t>, Ingéni</w:t>
            </w:r>
            <w:r w:rsidR="009717D3" w:rsidRPr="00772B10">
              <w:rPr>
                <w:rFonts w:ascii="Calibri" w:hAnsi="Calibri"/>
                <w:sz w:val="22"/>
                <w:szCs w:val="22"/>
              </w:rPr>
              <w:t>eur Chimiste Maîtrise en chimie</w:t>
            </w:r>
            <w:r w:rsidRPr="00772B10">
              <w:rPr>
                <w:rFonts w:ascii="Calibri" w:hAnsi="Calibri"/>
                <w:sz w:val="22"/>
                <w:szCs w:val="22"/>
              </w:rPr>
              <w:t>,</w:t>
            </w:r>
          </w:p>
          <w:p w14:paraId="77984965" w14:textId="033BF181" w:rsidR="00B71921" w:rsidRPr="0061181A" w:rsidRDefault="009717D3" w:rsidP="004915E6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72B10">
              <w:rPr>
                <w:rFonts w:ascii="Calibri" w:hAnsi="Calibri"/>
                <w:sz w:val="22"/>
                <w:szCs w:val="22"/>
              </w:rPr>
              <w:t>Boutifeu</w:t>
            </w:r>
            <w:proofErr w:type="spellEnd"/>
            <w:r w:rsidR="00BB7269" w:rsidRPr="00772B10">
              <w:rPr>
                <w:rFonts w:ascii="Calibri" w:hAnsi="Calibri"/>
                <w:sz w:val="22"/>
                <w:szCs w:val="22"/>
              </w:rPr>
              <w:t>, Maitrise en Minage EPC France (Chef section contrôle des explosifs à usage civil)</w:t>
            </w:r>
            <w:r w:rsidR="00BB726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A7685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72767B4B" w14:textId="14DDD22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Tel: </w:t>
            </w:r>
          </w:p>
          <w:p w14:paraId="4664E122" w14:textId="46955DBC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Mail: </w:t>
            </w:r>
          </w:p>
          <w:p w14:paraId="271DBCFB" w14:textId="034D467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Adresse postale: </w:t>
            </w:r>
          </w:p>
          <w:p w14:paraId="3AE7A4AD" w14:textId="3F4CE07F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Site: </w:t>
            </w:r>
          </w:p>
          <w:p w14:paraId="63A5633A" w14:textId="7F5D748A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Adresse physique: </w:t>
            </w:r>
          </w:p>
          <w:p w14:paraId="5ADC94DD" w14:textId="77777777" w:rsidR="00B71921" w:rsidRPr="00BC3050" w:rsidRDefault="00B71921" w:rsidP="00B71921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>Ville: Conakry</w:t>
            </w:r>
          </w:p>
          <w:p w14:paraId="66F3DA85" w14:textId="59B7E873" w:rsidR="00FA7685" w:rsidRPr="0061181A" w:rsidRDefault="00B71921" w:rsidP="00F969F7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Horaires d’ouverture: 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396E20FC" w:rsidR="002F0B33" w:rsidRPr="00DB2AEF" w:rsidRDefault="00703F1A" w:rsidP="00703F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3F1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7D68F35E" w14:textId="5D84B4C3" w:rsidR="00884D85" w:rsidRDefault="00884D85" w:rsidP="00884D85">
      <w:pPr>
        <w:ind w:hanging="567"/>
      </w:pPr>
    </w:p>
    <w:p w14:paraId="63977976" w14:textId="2AC88A3C" w:rsidR="00FA7685" w:rsidRDefault="00FE1DF4">
      <w:bookmarkStart w:id="1" w:name="_GoBack"/>
      <w:r w:rsidRPr="00FE1DF4">
        <w:drawing>
          <wp:inline distT="0" distB="0" distL="0" distR="0" wp14:anchorId="16359709" wp14:editId="1DB5E223">
            <wp:extent cx="6059325" cy="71170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38" cy="712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FA7685">
      <w:footerReference w:type="default" r:id="rId10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5648B" w14:textId="77777777" w:rsidR="003A5D1B" w:rsidRDefault="003A5D1B" w:rsidP="003B1A64">
      <w:r>
        <w:separator/>
      </w:r>
    </w:p>
  </w:endnote>
  <w:endnote w:type="continuationSeparator" w:id="0">
    <w:p w14:paraId="31B269CC" w14:textId="77777777" w:rsidR="003A5D1B" w:rsidRDefault="003A5D1B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1CFF303E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DF4">
          <w:rPr>
            <w:noProof/>
          </w:rPr>
          <w:t>4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A1803" w14:textId="77777777" w:rsidR="003A5D1B" w:rsidRDefault="003A5D1B" w:rsidP="003B1A64">
      <w:r>
        <w:separator/>
      </w:r>
    </w:p>
  </w:footnote>
  <w:footnote w:type="continuationSeparator" w:id="0">
    <w:p w14:paraId="02052D2E" w14:textId="77777777" w:rsidR="003A5D1B" w:rsidRDefault="003A5D1B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7"/>
  </w:num>
  <w:num w:numId="5">
    <w:abstractNumId w:val="20"/>
  </w:num>
  <w:num w:numId="6">
    <w:abstractNumId w:val="23"/>
  </w:num>
  <w:num w:numId="7">
    <w:abstractNumId w:val="6"/>
  </w:num>
  <w:num w:numId="8">
    <w:abstractNumId w:val="17"/>
  </w:num>
  <w:num w:numId="9">
    <w:abstractNumId w:val="18"/>
  </w:num>
  <w:num w:numId="10">
    <w:abstractNumId w:val="24"/>
  </w:num>
  <w:num w:numId="11">
    <w:abstractNumId w:val="8"/>
  </w:num>
  <w:num w:numId="12">
    <w:abstractNumId w:val="15"/>
  </w:num>
  <w:num w:numId="13">
    <w:abstractNumId w:val="22"/>
  </w:num>
  <w:num w:numId="14">
    <w:abstractNumId w:val="12"/>
  </w:num>
  <w:num w:numId="15">
    <w:abstractNumId w:val="4"/>
  </w:num>
  <w:num w:numId="16">
    <w:abstractNumId w:val="3"/>
  </w:num>
  <w:num w:numId="17">
    <w:abstractNumId w:val="13"/>
  </w:num>
  <w:num w:numId="18">
    <w:abstractNumId w:val="5"/>
  </w:num>
  <w:num w:numId="19">
    <w:abstractNumId w:val="27"/>
  </w:num>
  <w:num w:numId="20">
    <w:abstractNumId w:val="19"/>
  </w:num>
  <w:num w:numId="21">
    <w:abstractNumId w:val="9"/>
  </w:num>
  <w:num w:numId="22">
    <w:abstractNumId w:val="14"/>
  </w:num>
  <w:num w:numId="23">
    <w:abstractNumId w:val="1"/>
  </w:num>
  <w:num w:numId="24">
    <w:abstractNumId w:val="10"/>
  </w:num>
  <w:num w:numId="25">
    <w:abstractNumId w:val="2"/>
  </w:num>
  <w:num w:numId="26">
    <w:abstractNumId w:val="25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40F9"/>
    <w:rsid w:val="000356B2"/>
    <w:rsid w:val="00035FD2"/>
    <w:rsid w:val="000609DC"/>
    <w:rsid w:val="00062FCD"/>
    <w:rsid w:val="00083314"/>
    <w:rsid w:val="000A366E"/>
    <w:rsid w:val="000D4AE3"/>
    <w:rsid w:val="000E21A4"/>
    <w:rsid w:val="0016515A"/>
    <w:rsid w:val="00167059"/>
    <w:rsid w:val="00172A8F"/>
    <w:rsid w:val="00196E44"/>
    <w:rsid w:val="00210973"/>
    <w:rsid w:val="002361C8"/>
    <w:rsid w:val="002938F9"/>
    <w:rsid w:val="002B00CB"/>
    <w:rsid w:val="002F0B33"/>
    <w:rsid w:val="002F6DB4"/>
    <w:rsid w:val="00317A46"/>
    <w:rsid w:val="00367F48"/>
    <w:rsid w:val="0037318F"/>
    <w:rsid w:val="00380506"/>
    <w:rsid w:val="003A5D1B"/>
    <w:rsid w:val="003B1A64"/>
    <w:rsid w:val="00407C20"/>
    <w:rsid w:val="00444E86"/>
    <w:rsid w:val="00452015"/>
    <w:rsid w:val="00453724"/>
    <w:rsid w:val="00491079"/>
    <w:rsid w:val="004915E6"/>
    <w:rsid w:val="00514B52"/>
    <w:rsid w:val="00521CE0"/>
    <w:rsid w:val="005605ED"/>
    <w:rsid w:val="005730EE"/>
    <w:rsid w:val="005B39D3"/>
    <w:rsid w:val="005D0E14"/>
    <w:rsid w:val="005D4BC2"/>
    <w:rsid w:val="005E4675"/>
    <w:rsid w:val="005E672D"/>
    <w:rsid w:val="0061181A"/>
    <w:rsid w:val="00632B96"/>
    <w:rsid w:val="006726C2"/>
    <w:rsid w:val="00674594"/>
    <w:rsid w:val="006A5515"/>
    <w:rsid w:val="00703F1A"/>
    <w:rsid w:val="00765578"/>
    <w:rsid w:val="00772B10"/>
    <w:rsid w:val="007949F6"/>
    <w:rsid w:val="007B488B"/>
    <w:rsid w:val="007B4DDF"/>
    <w:rsid w:val="007D6319"/>
    <w:rsid w:val="007E5245"/>
    <w:rsid w:val="007E68FB"/>
    <w:rsid w:val="007E7288"/>
    <w:rsid w:val="008515F0"/>
    <w:rsid w:val="0085262A"/>
    <w:rsid w:val="0086167B"/>
    <w:rsid w:val="00873DB9"/>
    <w:rsid w:val="00884D85"/>
    <w:rsid w:val="0091250C"/>
    <w:rsid w:val="00924C12"/>
    <w:rsid w:val="009702D7"/>
    <w:rsid w:val="009717D3"/>
    <w:rsid w:val="00974DFD"/>
    <w:rsid w:val="00975C66"/>
    <w:rsid w:val="009837C5"/>
    <w:rsid w:val="00A3183C"/>
    <w:rsid w:val="00A46A2A"/>
    <w:rsid w:val="00AB7870"/>
    <w:rsid w:val="00AC7BC9"/>
    <w:rsid w:val="00B244DB"/>
    <w:rsid w:val="00B53C55"/>
    <w:rsid w:val="00B71921"/>
    <w:rsid w:val="00B764CA"/>
    <w:rsid w:val="00BB7269"/>
    <w:rsid w:val="00BD3B30"/>
    <w:rsid w:val="00BE6C22"/>
    <w:rsid w:val="00BF7D59"/>
    <w:rsid w:val="00C063DA"/>
    <w:rsid w:val="00C30733"/>
    <w:rsid w:val="00C30BE3"/>
    <w:rsid w:val="00C71C6B"/>
    <w:rsid w:val="00CA09ED"/>
    <w:rsid w:val="00CC2184"/>
    <w:rsid w:val="00CD0CBA"/>
    <w:rsid w:val="00D06E27"/>
    <w:rsid w:val="00D54E78"/>
    <w:rsid w:val="00D55422"/>
    <w:rsid w:val="00D925AA"/>
    <w:rsid w:val="00DB2AEF"/>
    <w:rsid w:val="00DB4E26"/>
    <w:rsid w:val="00DE0E86"/>
    <w:rsid w:val="00E0599F"/>
    <w:rsid w:val="00E24F0A"/>
    <w:rsid w:val="00E73856"/>
    <w:rsid w:val="00E763ED"/>
    <w:rsid w:val="00EB444C"/>
    <w:rsid w:val="00EB7374"/>
    <w:rsid w:val="00EC7039"/>
    <w:rsid w:val="00F00DD8"/>
    <w:rsid w:val="00F0798C"/>
    <w:rsid w:val="00F27542"/>
    <w:rsid w:val="00F36430"/>
    <w:rsid w:val="00F44883"/>
    <w:rsid w:val="00F51F63"/>
    <w:rsid w:val="00F718F4"/>
    <w:rsid w:val="00F77835"/>
    <w:rsid w:val="00F969F7"/>
    <w:rsid w:val="00FA7685"/>
    <w:rsid w:val="00FC1B28"/>
    <w:rsid w:val="00FE1DF4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3C7B-3427-4229-975C-29D9922B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5</cp:revision>
  <dcterms:created xsi:type="dcterms:W3CDTF">2017-02-03T10:16:00Z</dcterms:created>
  <dcterms:modified xsi:type="dcterms:W3CDTF">2017-02-13T14:20:00Z</dcterms:modified>
</cp:coreProperties>
</file>