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2AD68A0E" w:rsidR="00FA7685" w:rsidRDefault="00317A46">
      <w:pPr>
        <w:jc w:val="center"/>
      </w:pPr>
      <w:r>
        <w:rPr>
          <w:rFonts w:ascii="Calibri" w:eastAsia="Calibri" w:hAnsi="Calibri" w:cs="Calibri"/>
          <w:b/>
          <w:sz w:val="22"/>
          <w:szCs w:val="22"/>
        </w:rPr>
        <w:t>Direction Nationale des Mines (DNM)</w:t>
      </w:r>
    </w:p>
    <w:p w14:paraId="768D43C2" w14:textId="77777777" w:rsidR="00FA7685" w:rsidRDefault="00FA7685">
      <w:pPr>
        <w:jc w:val="center"/>
      </w:pPr>
    </w:p>
    <w:p w14:paraId="03AF6FE0" w14:textId="714E0B76" w:rsidR="00D55422" w:rsidRDefault="00703F1A">
      <w:pPr>
        <w:jc w:val="center"/>
        <w:rPr>
          <w:rFonts w:ascii="Calibri" w:eastAsia="Calibri" w:hAnsi="Calibri" w:cs="Calibri"/>
          <w:b/>
          <w:sz w:val="22"/>
          <w:szCs w:val="22"/>
        </w:rPr>
      </w:pPr>
      <w:r w:rsidRPr="00703F1A">
        <w:rPr>
          <w:rFonts w:ascii="Calibri" w:eastAsia="Calibri" w:hAnsi="Calibri" w:cs="Calibri"/>
          <w:b/>
          <w:sz w:val="22"/>
          <w:szCs w:val="22"/>
        </w:rPr>
        <w:t xml:space="preserve">Autorisation </w:t>
      </w:r>
      <w:r w:rsidR="009C1CC3">
        <w:rPr>
          <w:rFonts w:ascii="Calibri" w:eastAsia="Calibri" w:hAnsi="Calibri" w:cs="Calibri"/>
          <w:b/>
          <w:sz w:val="22"/>
          <w:szCs w:val="22"/>
        </w:rPr>
        <w:t>d’u</w:t>
      </w:r>
      <w:r w:rsidRPr="00703F1A">
        <w:rPr>
          <w:rFonts w:ascii="Calibri" w:eastAsia="Calibri" w:hAnsi="Calibri" w:cs="Calibri"/>
          <w:b/>
          <w:sz w:val="22"/>
          <w:szCs w:val="22"/>
        </w:rPr>
        <w:t>tilisation d’explosifs à usage civil (temporaire)</w:t>
      </w:r>
    </w:p>
    <w:p w14:paraId="23BC4A9E" w14:textId="77777777" w:rsidR="00703F1A" w:rsidRPr="00EB444C" w:rsidRDefault="00703F1A">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0226844D" w:rsidR="00FA7685" w:rsidRPr="0061181A" w:rsidRDefault="004915E6" w:rsidP="00B764CA">
            <w:pPr>
              <w:rPr>
                <w:rFonts w:ascii="Calibri" w:hAnsi="Calibri"/>
                <w:color w:val="000000" w:themeColor="text1"/>
                <w:sz w:val="22"/>
                <w:szCs w:val="22"/>
              </w:rPr>
            </w:pPr>
            <w:r>
              <w:rPr>
                <w:rFonts w:ascii="Calibri" w:hAnsi="Calibri"/>
                <w:color w:val="000000" w:themeColor="text1"/>
                <w:sz w:val="22"/>
                <w:szCs w:val="22"/>
              </w:rPr>
              <w:t xml:space="preserve">Autorisation </w:t>
            </w:r>
            <w:r w:rsidR="00703F1A">
              <w:rPr>
                <w:rFonts w:ascii="Calibri" w:hAnsi="Calibri"/>
                <w:color w:val="000000" w:themeColor="text1"/>
                <w:sz w:val="22"/>
                <w:szCs w:val="22"/>
              </w:rPr>
              <w:t xml:space="preserve">délivrée par le </w:t>
            </w:r>
            <w:r w:rsidR="00703F1A" w:rsidRPr="00703F1A">
              <w:rPr>
                <w:rFonts w:ascii="Calibri" w:hAnsi="Calibri"/>
                <w:color w:val="000000" w:themeColor="text1"/>
                <w:sz w:val="22"/>
                <w:szCs w:val="22"/>
              </w:rPr>
              <w:t>Directeur National des mines</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130E0883" w:rsidR="007E7288" w:rsidRPr="005D0E14" w:rsidRDefault="009C1CC3" w:rsidP="009C1CC3">
            <w:pPr>
              <w:spacing w:before="80"/>
              <w:rPr>
                <w:rFonts w:ascii="Calibri" w:hAnsi="Calibri"/>
                <w:color w:val="000000" w:themeColor="text1"/>
                <w:sz w:val="22"/>
                <w:szCs w:val="22"/>
              </w:rPr>
            </w:pPr>
            <w:r>
              <w:rPr>
                <w:rFonts w:ascii="Calibri" w:hAnsi="Calibri"/>
                <w:color w:val="000000" w:themeColor="text1"/>
                <w:sz w:val="22"/>
                <w:szCs w:val="22"/>
              </w:rPr>
              <w:t xml:space="preserve">Utilisation </w:t>
            </w:r>
            <w:r w:rsidR="00703F1A" w:rsidRPr="00703F1A">
              <w:rPr>
                <w:rFonts w:ascii="Calibri" w:hAnsi="Calibri"/>
                <w:color w:val="000000" w:themeColor="text1"/>
                <w:sz w:val="22"/>
                <w:szCs w:val="22"/>
              </w:rPr>
              <w:t>d’explosifs à usage civil</w:t>
            </w:r>
            <w:r>
              <w:rPr>
                <w:rFonts w:ascii="Calibri" w:hAnsi="Calibri"/>
                <w:color w:val="000000" w:themeColor="text1"/>
                <w:sz w:val="22"/>
                <w:szCs w:val="22"/>
              </w:rPr>
              <w:t xml:space="preserve"> achetés</w:t>
            </w:r>
            <w:r w:rsidR="00703F1A">
              <w:rPr>
                <w:rFonts w:ascii="Calibri" w:hAnsi="Calibri"/>
                <w:color w:val="000000" w:themeColor="text1"/>
                <w:sz w:val="22"/>
                <w:szCs w:val="22"/>
              </w:rPr>
              <w:t xml:space="preserve"> sur le marché guinéen</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7DA547B8" w14:textId="0C118435" w:rsidR="00703F1A" w:rsidRPr="00703F1A" w:rsidRDefault="00703F1A" w:rsidP="00703F1A">
            <w:pPr>
              <w:pStyle w:val="Paragraphedeliste"/>
              <w:numPr>
                <w:ilvl w:val="0"/>
                <w:numId w:val="22"/>
              </w:numPr>
              <w:spacing w:before="80"/>
              <w:rPr>
                <w:rFonts w:ascii="Calibri" w:hAnsi="Calibri"/>
                <w:color w:val="000000" w:themeColor="text1"/>
                <w:sz w:val="22"/>
                <w:szCs w:val="22"/>
              </w:rPr>
            </w:pPr>
            <w:r w:rsidRPr="00703F1A">
              <w:rPr>
                <w:rFonts w:ascii="Calibri" w:hAnsi="Calibri"/>
                <w:color w:val="000000" w:themeColor="text1"/>
                <w:sz w:val="22"/>
                <w:szCs w:val="22"/>
              </w:rPr>
              <w:t>Code Minier (article 148)</w:t>
            </w:r>
          </w:p>
          <w:p w14:paraId="4485F219" w14:textId="0ED7D5D4" w:rsidR="00FE40EF" w:rsidRPr="004915E6" w:rsidRDefault="00703F1A" w:rsidP="00703F1A">
            <w:pPr>
              <w:pStyle w:val="Paragraphedeliste"/>
              <w:numPr>
                <w:ilvl w:val="0"/>
                <w:numId w:val="22"/>
              </w:numPr>
              <w:spacing w:before="80"/>
              <w:rPr>
                <w:rFonts w:ascii="Calibri" w:hAnsi="Calibri"/>
                <w:color w:val="000000" w:themeColor="text1"/>
                <w:sz w:val="22"/>
                <w:szCs w:val="22"/>
              </w:rPr>
            </w:pPr>
            <w:r w:rsidRPr="00703F1A">
              <w:rPr>
                <w:rFonts w:ascii="Calibri" w:hAnsi="Calibri"/>
                <w:color w:val="000000" w:themeColor="text1"/>
                <w:sz w:val="22"/>
                <w:szCs w:val="22"/>
              </w:rPr>
              <w:t>Arrêté conjoint A/12/N505/MMG/MS fixant les conditions d'application de l’article 148 du Code Minier</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4D0FE6B2" w:rsidR="00CC2184" w:rsidRPr="009B0EF4" w:rsidRDefault="000C0B9C" w:rsidP="00CC2184">
            <w:pPr>
              <w:spacing w:before="80"/>
              <w:contextualSpacing w:val="0"/>
              <w:rPr>
                <w:rFonts w:ascii="Calibri" w:hAnsi="Calibri"/>
                <w:color w:val="000000" w:themeColor="text1"/>
                <w:sz w:val="22"/>
                <w:szCs w:val="22"/>
                <w:highlight w:val="yellow"/>
              </w:rPr>
            </w:pPr>
            <w:r>
              <w:rPr>
                <w:rFonts w:ascii="Calibri" w:hAnsi="Calibri"/>
                <w:color w:val="000000" w:themeColor="text1"/>
                <w:sz w:val="22"/>
                <w:szCs w:val="22"/>
              </w:rPr>
              <w:t xml:space="preserve"> 8 heures </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4BE9BD61" w:rsidR="003B1A64" w:rsidRPr="0061181A" w:rsidRDefault="009B0EF4" w:rsidP="0061181A">
            <w:pPr>
              <w:spacing w:before="80"/>
              <w:contextualSpacing w:val="0"/>
              <w:rPr>
                <w:rFonts w:ascii="Calibri" w:hAnsi="Calibri"/>
                <w:color w:val="000000" w:themeColor="text1"/>
                <w:sz w:val="22"/>
                <w:szCs w:val="22"/>
              </w:rPr>
            </w:pPr>
            <w:r w:rsidRPr="000C0B9C">
              <w:rPr>
                <w:rFonts w:ascii="Calibri" w:hAnsi="Calibri"/>
                <w:color w:val="000000" w:themeColor="text1"/>
                <w:sz w:val="22"/>
                <w:szCs w:val="22"/>
              </w:rPr>
              <w:t>1 An</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385E485B" w14:textId="388CFF62" w:rsidR="00F44883" w:rsidRPr="005D4BC2" w:rsidRDefault="00703F1A" w:rsidP="00F44883">
            <w:pPr>
              <w:rPr>
                <w:rFonts w:ascii="Calibri" w:hAnsi="Calibri"/>
                <w:color w:val="000000" w:themeColor="text1"/>
                <w:sz w:val="22"/>
                <w:szCs w:val="22"/>
              </w:rPr>
            </w:pPr>
            <w:r>
              <w:rPr>
                <w:rFonts w:ascii="Calibri" w:hAnsi="Calibri"/>
                <w:color w:val="000000" w:themeColor="text1"/>
                <w:sz w:val="22"/>
                <w:szCs w:val="22"/>
              </w:rPr>
              <w:t>Non payant</w:t>
            </w:r>
            <w:r w:rsidR="009B0EF4">
              <w:rPr>
                <w:rFonts w:ascii="Calibri" w:hAnsi="Calibri"/>
                <w:color w:val="000000" w:themeColor="text1"/>
                <w:sz w:val="22"/>
                <w:szCs w:val="22"/>
              </w:rPr>
              <w:t xml:space="preserve">. </w:t>
            </w:r>
            <w:r w:rsidR="009B0EF4" w:rsidRPr="000C0B9C">
              <w:rPr>
                <w:rFonts w:ascii="Calibri" w:hAnsi="Calibri"/>
                <w:color w:val="000000" w:themeColor="text1"/>
                <w:sz w:val="22"/>
                <w:szCs w:val="22"/>
              </w:rPr>
              <w:t>Cependant,</w:t>
            </w:r>
            <w:r w:rsidR="00244365" w:rsidRPr="000C0B9C">
              <w:rPr>
                <w:rFonts w:ascii="Calibri" w:hAnsi="Calibri"/>
                <w:color w:val="000000" w:themeColor="text1"/>
                <w:sz w:val="22"/>
                <w:szCs w:val="22"/>
              </w:rPr>
              <w:t xml:space="preserve"> une mission d’enquête du lieu d’utilisation et de l’utilisateur</w:t>
            </w:r>
            <w:r w:rsidR="000C0B9C">
              <w:rPr>
                <w:rFonts w:ascii="Calibri" w:hAnsi="Calibri"/>
                <w:color w:val="000000" w:themeColor="text1"/>
                <w:sz w:val="22"/>
                <w:szCs w:val="22"/>
              </w:rPr>
              <w:t xml:space="preserve"> sera effectu</w:t>
            </w:r>
            <w:r w:rsidR="009B0EF4" w:rsidRPr="000C0B9C">
              <w:rPr>
                <w:rFonts w:ascii="Calibri" w:hAnsi="Calibri"/>
                <w:color w:val="000000" w:themeColor="text1"/>
                <w:sz w:val="22"/>
                <w:szCs w:val="22"/>
              </w:rPr>
              <w:t>ée</w:t>
            </w:r>
            <w:r w:rsidR="00244365" w:rsidRPr="000C0B9C">
              <w:rPr>
                <w:rFonts w:ascii="Calibri" w:hAnsi="Calibri"/>
                <w:color w:val="000000" w:themeColor="text1"/>
                <w:sz w:val="22"/>
                <w:szCs w:val="22"/>
              </w:rPr>
              <w:t xml:space="preserve"> au</w:t>
            </w:r>
            <w:r w:rsidR="000C0B9C" w:rsidRPr="000C0B9C">
              <w:rPr>
                <w:rFonts w:ascii="Calibri" w:hAnsi="Calibri"/>
                <w:color w:val="000000" w:themeColor="text1"/>
                <w:sz w:val="22"/>
                <w:szCs w:val="22"/>
              </w:rPr>
              <w:t>x</w:t>
            </w:r>
            <w:r w:rsidR="00244365" w:rsidRPr="000C0B9C">
              <w:rPr>
                <w:rFonts w:ascii="Calibri" w:hAnsi="Calibri"/>
                <w:color w:val="000000" w:themeColor="text1"/>
                <w:sz w:val="22"/>
                <w:szCs w:val="22"/>
              </w:rPr>
              <w:t xml:space="preserve"> frais du promoteur</w:t>
            </w:r>
            <w:r w:rsidR="000C0B9C">
              <w:rPr>
                <w:rFonts w:ascii="Calibri" w:hAnsi="Calibri"/>
                <w:color w:val="000000" w:themeColor="text1"/>
                <w:sz w:val="22"/>
                <w:szCs w:val="22"/>
              </w:rPr>
              <w:t>.</w:t>
            </w:r>
            <w:r w:rsidR="00244365">
              <w:rPr>
                <w:rFonts w:ascii="Calibri" w:hAnsi="Calibri"/>
                <w:color w:val="000000" w:themeColor="text1"/>
                <w:sz w:val="22"/>
                <w:szCs w:val="22"/>
              </w:rPr>
              <w:t xml:space="preserve">  </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12DF6B48" w14:textId="77777777" w:rsidR="00F969F7" w:rsidRDefault="00703F1A" w:rsidP="00703F1A">
            <w:pPr>
              <w:pStyle w:val="Paragraphedeliste"/>
              <w:numPr>
                <w:ilvl w:val="0"/>
                <w:numId w:val="28"/>
              </w:numPr>
              <w:rPr>
                <w:rFonts w:ascii="Calibri" w:hAnsi="Calibri"/>
                <w:sz w:val="22"/>
                <w:szCs w:val="22"/>
              </w:rPr>
            </w:pPr>
            <w:r>
              <w:rPr>
                <w:rFonts w:ascii="Calibri" w:hAnsi="Calibri"/>
                <w:sz w:val="22"/>
                <w:szCs w:val="22"/>
              </w:rPr>
              <w:t>Etre titulaire d’un titre minier</w:t>
            </w:r>
          </w:p>
          <w:p w14:paraId="5BAF6610" w14:textId="24DA8B73" w:rsidR="00703F1A" w:rsidRPr="005605ED" w:rsidRDefault="00703F1A" w:rsidP="00703F1A">
            <w:pPr>
              <w:pStyle w:val="Paragraphedeliste"/>
              <w:numPr>
                <w:ilvl w:val="0"/>
                <w:numId w:val="28"/>
              </w:numPr>
              <w:rPr>
                <w:rFonts w:ascii="Calibri" w:hAnsi="Calibri"/>
                <w:sz w:val="22"/>
                <w:szCs w:val="22"/>
              </w:rPr>
            </w:pPr>
            <w:r>
              <w:rPr>
                <w:rFonts w:ascii="Calibri" w:hAnsi="Calibri"/>
                <w:sz w:val="22"/>
                <w:szCs w:val="22"/>
              </w:rPr>
              <w:t>Autorisation d’</w:t>
            </w:r>
            <w:r w:rsidRPr="00703F1A">
              <w:rPr>
                <w:rFonts w:ascii="Calibri" w:hAnsi="Calibri"/>
                <w:sz w:val="22"/>
                <w:szCs w:val="22"/>
              </w:rPr>
              <w:t>entreposer et utiliser cette substance</w:t>
            </w:r>
          </w:p>
        </w:tc>
        <w:tc>
          <w:tcPr>
            <w:tcW w:w="5671" w:type="dxa"/>
            <w:vAlign w:val="center"/>
          </w:tcPr>
          <w:p w14:paraId="3F5656F2" w14:textId="77777777" w:rsidR="00703F1A" w:rsidRPr="00703F1A" w:rsidRDefault="00703F1A" w:rsidP="00703F1A">
            <w:pPr>
              <w:pStyle w:val="Paragraphedeliste"/>
              <w:numPr>
                <w:ilvl w:val="0"/>
                <w:numId w:val="27"/>
              </w:numPr>
              <w:rPr>
                <w:rFonts w:ascii="Calibri" w:hAnsi="Calibri"/>
                <w:sz w:val="22"/>
                <w:szCs w:val="22"/>
              </w:rPr>
            </w:pPr>
            <w:r w:rsidRPr="00703F1A">
              <w:rPr>
                <w:rFonts w:ascii="Calibri" w:hAnsi="Calibri"/>
                <w:sz w:val="22"/>
                <w:szCs w:val="22"/>
              </w:rPr>
              <w:t xml:space="preserve">Demande d'autorisation </w:t>
            </w:r>
          </w:p>
          <w:p w14:paraId="1D01421E" w14:textId="77777777" w:rsidR="00703F1A" w:rsidRPr="00703F1A" w:rsidRDefault="00703F1A" w:rsidP="00703F1A">
            <w:pPr>
              <w:pStyle w:val="Paragraphedeliste"/>
              <w:numPr>
                <w:ilvl w:val="0"/>
                <w:numId w:val="27"/>
              </w:numPr>
              <w:rPr>
                <w:rFonts w:ascii="Calibri" w:hAnsi="Calibri"/>
                <w:sz w:val="22"/>
                <w:szCs w:val="22"/>
              </w:rPr>
            </w:pPr>
            <w:r w:rsidRPr="00703F1A">
              <w:rPr>
                <w:rFonts w:ascii="Calibri" w:hAnsi="Calibri"/>
                <w:sz w:val="22"/>
                <w:szCs w:val="22"/>
              </w:rPr>
              <w:t xml:space="preserve">Notice explicative expliquant la composition chimique de l'explosif, les effets des gaz émis après utilisation, les mesures de sécurité appropriées, </w:t>
            </w:r>
          </w:p>
          <w:p w14:paraId="2A87D913" w14:textId="77777777" w:rsidR="00703F1A" w:rsidRPr="00703F1A" w:rsidRDefault="00703F1A" w:rsidP="00703F1A">
            <w:pPr>
              <w:pStyle w:val="Paragraphedeliste"/>
              <w:numPr>
                <w:ilvl w:val="0"/>
                <w:numId w:val="27"/>
              </w:numPr>
              <w:rPr>
                <w:rFonts w:ascii="Calibri" w:hAnsi="Calibri"/>
                <w:sz w:val="22"/>
                <w:szCs w:val="22"/>
              </w:rPr>
            </w:pPr>
            <w:r w:rsidRPr="00703F1A">
              <w:rPr>
                <w:rFonts w:ascii="Calibri" w:hAnsi="Calibri"/>
                <w:sz w:val="22"/>
                <w:szCs w:val="22"/>
              </w:rPr>
              <w:t>Certificat justifiant l'aptitude du requérant à entreposer et utiliser cette substance</w:t>
            </w:r>
          </w:p>
          <w:p w14:paraId="72EB481B" w14:textId="389F8A71" w:rsidR="005D0E14" w:rsidRPr="00703F1A" w:rsidRDefault="00703F1A" w:rsidP="00703F1A">
            <w:pPr>
              <w:pStyle w:val="Paragraphedeliste"/>
              <w:numPr>
                <w:ilvl w:val="0"/>
                <w:numId w:val="27"/>
              </w:numPr>
              <w:rPr>
                <w:rFonts w:ascii="Calibri" w:hAnsi="Calibri"/>
                <w:sz w:val="22"/>
                <w:szCs w:val="22"/>
              </w:rPr>
            </w:pPr>
            <w:r w:rsidRPr="00703F1A">
              <w:rPr>
                <w:rFonts w:ascii="Calibri" w:hAnsi="Calibri"/>
                <w:sz w:val="22"/>
                <w:szCs w:val="22"/>
              </w:rPr>
              <w:t>Titre minier</w:t>
            </w:r>
          </w:p>
        </w:tc>
      </w:tr>
      <w:tr w:rsidR="00FA7685" w:rsidRPr="0061181A" w14:paraId="648EA3BB" w14:textId="77777777" w:rsidTr="0061181A">
        <w:tc>
          <w:tcPr>
            <w:tcW w:w="5670" w:type="dxa"/>
            <w:gridSpan w:val="2"/>
            <w:shd w:val="clear" w:color="auto" w:fill="BFBFBF"/>
            <w:vAlign w:val="center"/>
          </w:tcPr>
          <w:p w14:paraId="1B273417" w14:textId="77D1962E"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61181A">
        <w:trPr>
          <w:trHeight w:val="1780"/>
        </w:trPr>
        <w:tc>
          <w:tcPr>
            <w:tcW w:w="5670" w:type="dxa"/>
            <w:gridSpan w:val="2"/>
            <w:vAlign w:val="center"/>
          </w:tcPr>
          <w:p w14:paraId="4F10655E" w14:textId="77777777" w:rsidR="00703F1A" w:rsidRDefault="00703F1A" w:rsidP="00703F1A">
            <w:pPr>
              <w:rPr>
                <w:rFonts w:ascii="Calibri" w:hAnsi="Calibri"/>
                <w:sz w:val="22"/>
                <w:szCs w:val="22"/>
              </w:rPr>
            </w:pPr>
            <w:r w:rsidRPr="00703F1A">
              <w:rPr>
                <w:rFonts w:ascii="Calibri" w:hAnsi="Calibri"/>
                <w:b/>
                <w:sz w:val="22"/>
                <w:szCs w:val="22"/>
              </w:rPr>
              <w:lastRenderedPageBreak/>
              <w:t>DNM</w:t>
            </w:r>
            <w:r>
              <w:rPr>
                <w:rFonts w:ascii="Calibri" w:hAnsi="Calibri"/>
                <w:sz w:val="22"/>
                <w:szCs w:val="22"/>
              </w:rPr>
              <w:t xml:space="preserve"> : </w:t>
            </w:r>
            <w:r w:rsidRPr="00703F1A">
              <w:rPr>
                <w:rFonts w:ascii="Calibri" w:hAnsi="Calibri"/>
                <w:sz w:val="22"/>
                <w:szCs w:val="22"/>
              </w:rPr>
              <w:t>3 mois avant l’expiration de l’autorisation informe</w:t>
            </w:r>
            <w:r>
              <w:rPr>
                <w:rFonts w:ascii="Calibri" w:hAnsi="Calibri"/>
                <w:sz w:val="22"/>
                <w:szCs w:val="22"/>
              </w:rPr>
              <w:t xml:space="preserve"> le promoteur</w:t>
            </w:r>
            <w:r w:rsidRPr="00703F1A">
              <w:rPr>
                <w:rFonts w:ascii="Calibri" w:hAnsi="Calibri"/>
                <w:sz w:val="22"/>
                <w:szCs w:val="22"/>
              </w:rPr>
              <w:t xml:space="preserve"> de la fin de validité de son autorisation.</w:t>
            </w:r>
          </w:p>
          <w:p w14:paraId="7B4136A8" w14:textId="77777777" w:rsidR="00703F1A" w:rsidRDefault="00703F1A" w:rsidP="00703F1A">
            <w:pPr>
              <w:rPr>
                <w:rFonts w:ascii="Calibri" w:hAnsi="Calibri"/>
                <w:sz w:val="22"/>
                <w:szCs w:val="22"/>
              </w:rPr>
            </w:pPr>
            <w:r w:rsidRPr="00703F1A">
              <w:rPr>
                <w:rFonts w:ascii="Calibri" w:hAnsi="Calibri"/>
                <w:b/>
                <w:sz w:val="22"/>
                <w:szCs w:val="22"/>
              </w:rPr>
              <w:t>Promoteur</w:t>
            </w:r>
            <w:r>
              <w:rPr>
                <w:rFonts w:ascii="Calibri" w:hAnsi="Calibri"/>
                <w:sz w:val="22"/>
                <w:szCs w:val="22"/>
              </w:rPr>
              <w:t> : renvoie</w:t>
            </w:r>
            <w:r w:rsidRPr="00703F1A">
              <w:rPr>
                <w:rFonts w:ascii="Calibri" w:hAnsi="Calibri"/>
                <w:sz w:val="22"/>
                <w:szCs w:val="22"/>
              </w:rPr>
              <w:t xml:space="preserve"> un courrier pour spécifier sa volonté ou non de renouveler l’autorisation. </w:t>
            </w:r>
          </w:p>
          <w:p w14:paraId="4F2C2588" w14:textId="41C17A18" w:rsidR="00D54E78" w:rsidRPr="00DB2AEF" w:rsidRDefault="00703F1A" w:rsidP="00703F1A">
            <w:pPr>
              <w:rPr>
                <w:rFonts w:ascii="Calibri" w:hAnsi="Calibri"/>
                <w:sz w:val="22"/>
                <w:szCs w:val="22"/>
              </w:rPr>
            </w:pPr>
            <w:r w:rsidRPr="00703F1A">
              <w:rPr>
                <w:rFonts w:ascii="Calibri" w:hAnsi="Calibri"/>
                <w:sz w:val="22"/>
                <w:szCs w:val="22"/>
              </w:rPr>
              <w:t>Le renouvellement s’effectue sur la base des rapports mensuels qui sont fournis par</w:t>
            </w:r>
            <w:r>
              <w:rPr>
                <w:rFonts w:ascii="Calibri" w:hAnsi="Calibri"/>
                <w:sz w:val="22"/>
                <w:szCs w:val="22"/>
              </w:rPr>
              <w:t xml:space="preserve"> le Promoteur</w:t>
            </w:r>
            <w:r w:rsidRPr="00703F1A">
              <w:rPr>
                <w:rFonts w:ascii="Calibri" w:hAnsi="Calibri"/>
                <w:sz w:val="22"/>
                <w:szCs w:val="22"/>
              </w:rPr>
              <w:t xml:space="preserve"> et des contrôles inopinés qui sont réalisés par la DNM.</w:t>
            </w:r>
          </w:p>
        </w:tc>
        <w:tc>
          <w:tcPr>
            <w:tcW w:w="5671" w:type="dxa"/>
            <w:vAlign w:val="center"/>
          </w:tcPr>
          <w:p w14:paraId="12281F26" w14:textId="77777777" w:rsidR="00F36430" w:rsidRPr="00165ED3" w:rsidRDefault="00703F1A" w:rsidP="0061181A">
            <w:pPr>
              <w:contextualSpacing w:val="0"/>
              <w:rPr>
                <w:rFonts w:ascii="Calibri" w:hAnsi="Calibri"/>
                <w:sz w:val="22"/>
                <w:szCs w:val="22"/>
              </w:rPr>
            </w:pPr>
            <w:r w:rsidRPr="00165ED3">
              <w:rPr>
                <w:rFonts w:ascii="Calibri" w:hAnsi="Calibri"/>
                <w:sz w:val="22"/>
                <w:szCs w:val="22"/>
              </w:rPr>
              <w:t>Oui. La DNM réalise des contrôles inopinés pendant la période d’autorisation.</w:t>
            </w:r>
          </w:p>
          <w:p w14:paraId="15995B33" w14:textId="608EC9F1" w:rsidR="00637CD2" w:rsidRPr="00165ED3" w:rsidRDefault="00637CD2" w:rsidP="000C0B9C">
            <w:pPr>
              <w:rPr>
                <w:rFonts w:ascii="Calibri" w:hAnsi="Calibri"/>
                <w:sz w:val="22"/>
                <w:szCs w:val="22"/>
              </w:rPr>
            </w:pPr>
            <w:r w:rsidRPr="00165ED3">
              <w:rPr>
                <w:rFonts w:ascii="Calibri" w:hAnsi="Calibri"/>
                <w:sz w:val="22"/>
                <w:szCs w:val="22"/>
              </w:rPr>
              <w:t>U</w:t>
            </w:r>
            <w:r w:rsidR="000C0B9C" w:rsidRPr="00165ED3">
              <w:rPr>
                <w:rFonts w:ascii="Calibri" w:hAnsi="Calibri"/>
                <w:sz w:val="22"/>
                <w:szCs w:val="22"/>
              </w:rPr>
              <w:t>ne mission conjointe</w:t>
            </w:r>
            <w:r w:rsidRPr="00165ED3">
              <w:rPr>
                <w:rFonts w:ascii="Calibri" w:hAnsi="Calibri"/>
                <w:sz w:val="22"/>
                <w:szCs w:val="22"/>
              </w:rPr>
              <w:t xml:space="preserve"> ministère des </w:t>
            </w:r>
            <w:r w:rsidR="000C0B9C" w:rsidRPr="00165ED3">
              <w:rPr>
                <w:rFonts w:ascii="Calibri" w:hAnsi="Calibri"/>
                <w:sz w:val="22"/>
                <w:szCs w:val="22"/>
              </w:rPr>
              <w:t>Mine</w:t>
            </w:r>
            <w:r w:rsidRPr="00165ED3">
              <w:rPr>
                <w:rFonts w:ascii="Calibri" w:hAnsi="Calibri"/>
                <w:sz w:val="22"/>
                <w:szCs w:val="22"/>
              </w:rPr>
              <w:t>s</w:t>
            </w:r>
            <w:r w:rsidR="000C0B9C" w:rsidRPr="00165ED3">
              <w:rPr>
                <w:rFonts w:ascii="Calibri" w:hAnsi="Calibri"/>
                <w:sz w:val="22"/>
                <w:szCs w:val="22"/>
              </w:rPr>
              <w:t xml:space="preserve"> et</w:t>
            </w:r>
            <w:r w:rsidRPr="00165ED3">
              <w:rPr>
                <w:rFonts w:ascii="Calibri" w:hAnsi="Calibri"/>
                <w:sz w:val="22"/>
                <w:szCs w:val="22"/>
              </w:rPr>
              <w:t xml:space="preserve"> le ministère en charge de la sécurité se rend</w:t>
            </w:r>
            <w:r w:rsidR="000C0B9C" w:rsidRPr="00165ED3">
              <w:rPr>
                <w:rFonts w:ascii="Calibri" w:hAnsi="Calibri"/>
                <w:sz w:val="22"/>
                <w:szCs w:val="22"/>
              </w:rPr>
              <w:t xml:space="preserve"> au lieu </w:t>
            </w:r>
            <w:r w:rsidRPr="00165ED3">
              <w:rPr>
                <w:rFonts w:ascii="Calibri" w:hAnsi="Calibri"/>
                <w:sz w:val="22"/>
                <w:szCs w:val="22"/>
              </w:rPr>
              <w:t xml:space="preserve">d’utilisation </w:t>
            </w:r>
            <w:r w:rsidR="000C0B9C" w:rsidRPr="00165ED3">
              <w:rPr>
                <w:rFonts w:ascii="Calibri" w:hAnsi="Calibri"/>
                <w:sz w:val="22"/>
                <w:szCs w:val="22"/>
              </w:rPr>
              <w:t>au</w:t>
            </w:r>
            <w:r w:rsidRPr="00165ED3">
              <w:rPr>
                <w:rFonts w:ascii="Calibri" w:hAnsi="Calibri"/>
                <w:sz w:val="22"/>
                <w:szCs w:val="22"/>
              </w:rPr>
              <w:t>x</w:t>
            </w:r>
            <w:r w:rsidR="000C0B9C" w:rsidRPr="00165ED3">
              <w:rPr>
                <w:rFonts w:ascii="Calibri" w:hAnsi="Calibri"/>
                <w:sz w:val="22"/>
                <w:szCs w:val="22"/>
              </w:rPr>
              <w:t xml:space="preserve"> frais du promoteur.</w:t>
            </w:r>
          </w:p>
          <w:p w14:paraId="751ED8D2" w14:textId="2254589A" w:rsidR="000C0B9C" w:rsidRPr="00165ED3" w:rsidRDefault="000C0B9C" w:rsidP="000C0B9C">
            <w:pPr>
              <w:rPr>
                <w:rFonts w:ascii="Calibri" w:hAnsi="Calibri"/>
                <w:sz w:val="22"/>
                <w:szCs w:val="22"/>
              </w:rPr>
            </w:pPr>
            <w:r w:rsidRPr="00165ED3">
              <w:rPr>
                <w:rFonts w:ascii="Calibri" w:hAnsi="Calibri"/>
                <w:sz w:val="22"/>
                <w:szCs w:val="22"/>
              </w:rPr>
              <w:t xml:space="preserve"> Après octroi</w:t>
            </w:r>
            <w:r w:rsidR="00637CD2" w:rsidRPr="00165ED3">
              <w:rPr>
                <w:rFonts w:ascii="Calibri" w:hAnsi="Calibri"/>
                <w:sz w:val="22"/>
                <w:szCs w:val="22"/>
              </w:rPr>
              <w:t xml:space="preserve"> de l’autorisation</w:t>
            </w:r>
            <w:r w:rsidRPr="00165ED3">
              <w:rPr>
                <w:rFonts w:ascii="Calibri" w:hAnsi="Calibri"/>
                <w:sz w:val="22"/>
                <w:szCs w:val="22"/>
              </w:rPr>
              <w:t>, une mission de la DNM contrôle le site chaque trimestre</w:t>
            </w:r>
            <w:r w:rsidR="00637CD2" w:rsidRPr="00165ED3">
              <w:rPr>
                <w:rFonts w:ascii="Calibri" w:hAnsi="Calibri"/>
                <w:sz w:val="22"/>
                <w:szCs w:val="22"/>
              </w:rPr>
              <w:t>,</w:t>
            </w:r>
            <w:r w:rsidRPr="00165ED3">
              <w:rPr>
                <w:rFonts w:ascii="Calibri" w:hAnsi="Calibri"/>
                <w:sz w:val="22"/>
                <w:szCs w:val="22"/>
              </w:rPr>
              <w:t xml:space="preserve"> sauf cas de force majeure</w:t>
            </w:r>
            <w:r w:rsidR="00637CD2" w:rsidRPr="00165ED3">
              <w:rPr>
                <w:rFonts w:ascii="Calibri" w:hAnsi="Calibri"/>
                <w:sz w:val="22"/>
                <w:szCs w:val="22"/>
              </w:rPr>
              <w:t>.</w:t>
            </w:r>
          </w:p>
          <w:p w14:paraId="1B1FCF20" w14:textId="3B4CF38C" w:rsidR="000C0B9C" w:rsidRPr="0061181A" w:rsidRDefault="000C0B9C" w:rsidP="0061181A">
            <w:pPr>
              <w:contextualSpacing w:val="0"/>
              <w:rPr>
                <w:rFonts w:ascii="Calibri" w:hAnsi="Calibri"/>
                <w:sz w:val="22"/>
                <w:szCs w:val="22"/>
              </w:rPr>
            </w:pP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0D344E10" w14:textId="418D81E8" w:rsidR="00B244DB" w:rsidRPr="00B764CA" w:rsidRDefault="00703F1A" w:rsidP="00B764CA">
            <w:pPr>
              <w:rPr>
                <w:rFonts w:ascii="Calibri" w:hAnsi="Calibri"/>
                <w:color w:val="000000" w:themeColor="text1"/>
                <w:sz w:val="22"/>
                <w:szCs w:val="22"/>
              </w:rPr>
            </w:pPr>
            <w:r>
              <w:rPr>
                <w:rFonts w:ascii="Calibri" w:hAnsi="Calibri"/>
                <w:color w:val="000000" w:themeColor="text1"/>
                <w:sz w:val="22"/>
                <w:szCs w:val="22"/>
              </w:rPr>
              <w:t>Non</w:t>
            </w:r>
          </w:p>
        </w:tc>
        <w:tc>
          <w:tcPr>
            <w:tcW w:w="5671" w:type="dxa"/>
            <w:vAlign w:val="center"/>
          </w:tcPr>
          <w:p w14:paraId="379834AB" w14:textId="7329C51B" w:rsidR="00F36430" w:rsidRPr="0061181A" w:rsidRDefault="007B488B" w:rsidP="0061181A">
            <w:pPr>
              <w:rPr>
                <w:rFonts w:ascii="Calibri" w:hAnsi="Calibri"/>
                <w:sz w:val="22"/>
                <w:szCs w:val="22"/>
              </w:rPr>
            </w:pPr>
            <w:r>
              <w:rPr>
                <w:rFonts w:ascii="Calibri" w:hAnsi="Calibri"/>
                <w:sz w:val="22"/>
                <w:szCs w:val="22"/>
              </w:rPr>
              <w:t>Non</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71F906F3" w:rsidR="00FA7685" w:rsidRPr="008515F0" w:rsidRDefault="000C0B9C" w:rsidP="00A3183C">
            <w:pPr>
              <w:rPr>
                <w:rFonts w:ascii="Calibri" w:hAnsi="Calibri"/>
                <w:sz w:val="22"/>
                <w:szCs w:val="22"/>
              </w:rPr>
            </w:pPr>
            <w:r>
              <w:rPr>
                <w:rFonts w:ascii="Calibri" w:hAnsi="Calibri"/>
                <w:sz w:val="22"/>
                <w:szCs w:val="22"/>
              </w:rPr>
              <w:t xml:space="preserve">Oui </w:t>
            </w:r>
          </w:p>
        </w:tc>
        <w:tc>
          <w:tcPr>
            <w:tcW w:w="5671" w:type="dxa"/>
            <w:vAlign w:val="center"/>
          </w:tcPr>
          <w:p w14:paraId="536AAA44" w14:textId="20746174" w:rsidR="00B244DB" w:rsidRPr="009B0EF4" w:rsidRDefault="000C0B9C" w:rsidP="0061181A">
            <w:pPr>
              <w:contextualSpacing w:val="0"/>
              <w:rPr>
                <w:rFonts w:ascii="Calibri" w:hAnsi="Calibri"/>
                <w:sz w:val="22"/>
                <w:szCs w:val="22"/>
                <w:highlight w:val="yellow"/>
              </w:rPr>
            </w:pPr>
            <w:r w:rsidRPr="000C0B9C">
              <w:rPr>
                <w:rFonts w:ascii="Calibri" w:hAnsi="Calibri"/>
                <w:sz w:val="22"/>
                <w:szCs w:val="22"/>
              </w:rPr>
              <w:t xml:space="preserve">Oui </w:t>
            </w:r>
            <w:r w:rsidR="009B0EF4" w:rsidRPr="009B0EF4">
              <w:rPr>
                <w:rFonts w:ascii="Calibri" w:hAnsi="Calibri"/>
                <w:sz w:val="22"/>
                <w:szCs w:val="22"/>
                <w:highlight w:val="yellow"/>
              </w:rPr>
              <w:t xml:space="preserve"> </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49D3C3A7" w:rsidR="00C71C6B" w:rsidRPr="0061181A" w:rsidRDefault="007B488B" w:rsidP="0061181A">
            <w:pPr>
              <w:rPr>
                <w:rFonts w:ascii="Calibri" w:hAnsi="Calibri"/>
                <w:sz w:val="22"/>
                <w:szCs w:val="22"/>
              </w:rPr>
            </w:pPr>
            <w:r>
              <w:rPr>
                <w:rFonts w:ascii="Calibri" w:hAnsi="Calibri"/>
                <w:sz w:val="22"/>
                <w:szCs w:val="22"/>
              </w:rPr>
              <w:t>Autorisation</w:t>
            </w:r>
          </w:p>
        </w:tc>
        <w:tc>
          <w:tcPr>
            <w:tcW w:w="5671" w:type="dxa"/>
            <w:vAlign w:val="center"/>
          </w:tcPr>
          <w:p w14:paraId="2AC94984" w14:textId="46339A3E" w:rsidR="00974DFD" w:rsidRPr="0061181A" w:rsidRDefault="000C0B9C" w:rsidP="0061181A">
            <w:pPr>
              <w:rPr>
                <w:rFonts w:ascii="Calibri" w:hAnsi="Calibri"/>
                <w:sz w:val="22"/>
                <w:szCs w:val="22"/>
              </w:rPr>
            </w:pPr>
            <w:r>
              <w:rPr>
                <w:rFonts w:ascii="Calibri" w:hAnsi="Calibri"/>
                <w:sz w:val="22"/>
                <w:szCs w:val="22"/>
              </w:rPr>
              <w:t xml:space="preserve">Oui </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3E5F6C75" w:rsidR="00FA7685" w:rsidRPr="0061181A" w:rsidRDefault="00703F1A" w:rsidP="00C30733">
            <w:pPr>
              <w:rPr>
                <w:rFonts w:ascii="Calibri" w:hAnsi="Calibri"/>
                <w:sz w:val="22"/>
                <w:szCs w:val="22"/>
              </w:rPr>
            </w:pPr>
            <w:r>
              <w:rPr>
                <w:rFonts w:ascii="Calibri" w:hAnsi="Calibri"/>
                <w:color w:val="000000" w:themeColor="text1"/>
                <w:sz w:val="22"/>
                <w:szCs w:val="22"/>
              </w:rPr>
              <w:t>Direction Nationale des Mines</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2F9D61A7" w:rsidR="00B71921" w:rsidRPr="000C0B9C" w:rsidRDefault="009B0EF4" w:rsidP="004915E6">
            <w:pPr>
              <w:rPr>
                <w:rFonts w:ascii="Calibri" w:hAnsi="Calibri"/>
                <w:sz w:val="22"/>
                <w:szCs w:val="22"/>
              </w:rPr>
            </w:pPr>
            <w:r w:rsidRPr="000C0B9C">
              <w:rPr>
                <w:rFonts w:ascii="Calibri" w:hAnsi="Calibri"/>
                <w:sz w:val="22"/>
                <w:szCs w:val="22"/>
              </w:rPr>
              <w:t xml:space="preserve">Coulibaly </w:t>
            </w:r>
            <w:proofErr w:type="spellStart"/>
            <w:r w:rsidRPr="000C0B9C">
              <w:rPr>
                <w:rFonts w:ascii="Calibri" w:hAnsi="Calibri"/>
                <w:sz w:val="22"/>
                <w:szCs w:val="22"/>
              </w:rPr>
              <w:t>Ad</w:t>
            </w:r>
            <w:r w:rsidR="000C0B9C" w:rsidRPr="000C0B9C">
              <w:rPr>
                <w:rFonts w:ascii="Calibri" w:hAnsi="Calibri"/>
                <w:sz w:val="22"/>
                <w:szCs w:val="22"/>
              </w:rPr>
              <w:t>a</w:t>
            </w:r>
            <w:r w:rsidRPr="000C0B9C">
              <w:rPr>
                <w:rFonts w:ascii="Calibri" w:hAnsi="Calibri"/>
                <w:sz w:val="22"/>
                <w:szCs w:val="22"/>
              </w:rPr>
              <w:t>ma</w:t>
            </w:r>
            <w:proofErr w:type="spellEnd"/>
            <w:r w:rsidRPr="000C0B9C">
              <w:rPr>
                <w:rFonts w:ascii="Calibri" w:hAnsi="Calibri"/>
                <w:sz w:val="22"/>
                <w:szCs w:val="22"/>
              </w:rPr>
              <w:t xml:space="preserve"> </w:t>
            </w:r>
            <w:r w:rsidR="000C0B9C" w:rsidRPr="000C0B9C">
              <w:rPr>
                <w:rFonts w:ascii="Calibri" w:hAnsi="Calibri"/>
                <w:sz w:val="22"/>
                <w:szCs w:val="22"/>
              </w:rPr>
              <w:t>ingénieure chimiste boutefeu, Mai</w:t>
            </w:r>
            <w:r w:rsidRPr="000C0B9C">
              <w:rPr>
                <w:rFonts w:ascii="Calibri" w:hAnsi="Calibri"/>
                <w:sz w:val="22"/>
                <w:szCs w:val="22"/>
              </w:rPr>
              <w:t>trise en chimie inorganique, Maîtrise en minage EPC  France ( chef section contrôle des explosifs à usage civil)</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72767B4B" w14:textId="4C02419E" w:rsidR="00B71921" w:rsidRPr="000C0B9C" w:rsidRDefault="00B71921" w:rsidP="00B71921">
            <w:pPr>
              <w:rPr>
                <w:rFonts w:ascii="Calibri" w:hAnsi="Calibri"/>
                <w:sz w:val="22"/>
                <w:szCs w:val="22"/>
              </w:rPr>
            </w:pPr>
            <w:r w:rsidRPr="000C0B9C">
              <w:rPr>
                <w:rFonts w:ascii="Calibri" w:hAnsi="Calibri"/>
                <w:sz w:val="22"/>
                <w:szCs w:val="22"/>
              </w:rPr>
              <w:t xml:space="preserve">Tel: </w:t>
            </w:r>
            <w:r w:rsidR="009B0EF4" w:rsidRPr="000C0B9C">
              <w:rPr>
                <w:rFonts w:ascii="Calibri" w:hAnsi="Calibri"/>
                <w:sz w:val="22"/>
                <w:szCs w:val="22"/>
              </w:rPr>
              <w:t xml:space="preserve">00224 622 312 789 /664 20 68 10 </w:t>
            </w:r>
          </w:p>
          <w:p w14:paraId="4664E122" w14:textId="617C5EBD" w:rsidR="00B71921" w:rsidRPr="000C0B9C" w:rsidRDefault="00B71921" w:rsidP="00B71921">
            <w:pPr>
              <w:rPr>
                <w:rFonts w:ascii="Calibri" w:hAnsi="Calibri"/>
                <w:sz w:val="22"/>
                <w:szCs w:val="22"/>
              </w:rPr>
            </w:pPr>
            <w:r w:rsidRPr="000C0B9C">
              <w:rPr>
                <w:rFonts w:ascii="Calibri" w:hAnsi="Calibri"/>
                <w:sz w:val="22"/>
                <w:szCs w:val="22"/>
              </w:rPr>
              <w:t xml:space="preserve">Mail: </w:t>
            </w:r>
            <w:proofErr w:type="spellStart"/>
            <w:r w:rsidR="009B0EF4" w:rsidRPr="000C0B9C">
              <w:rPr>
                <w:rFonts w:ascii="Calibri" w:hAnsi="Calibri"/>
                <w:sz w:val="22"/>
                <w:szCs w:val="22"/>
              </w:rPr>
              <w:t>Babymine</w:t>
            </w:r>
            <w:proofErr w:type="spellEnd"/>
            <w:r w:rsidR="009B0EF4" w:rsidRPr="000C0B9C">
              <w:rPr>
                <w:rFonts w:ascii="Calibri" w:hAnsi="Calibri"/>
                <w:sz w:val="22"/>
                <w:szCs w:val="22"/>
              </w:rPr>
              <w:t xml:space="preserve"> 2170@gmail.com</w:t>
            </w:r>
          </w:p>
          <w:p w14:paraId="271DBCFB" w14:textId="034D467A" w:rsidR="00B71921" w:rsidRPr="000C0B9C" w:rsidRDefault="00B71921" w:rsidP="00B71921">
            <w:pPr>
              <w:rPr>
                <w:rFonts w:ascii="Calibri" w:hAnsi="Calibri"/>
                <w:sz w:val="22"/>
                <w:szCs w:val="22"/>
              </w:rPr>
            </w:pPr>
            <w:r w:rsidRPr="000C0B9C">
              <w:rPr>
                <w:rFonts w:ascii="Calibri" w:hAnsi="Calibri"/>
                <w:sz w:val="22"/>
                <w:szCs w:val="22"/>
              </w:rPr>
              <w:t xml:space="preserve">Adresse postale: </w:t>
            </w:r>
          </w:p>
          <w:p w14:paraId="3AE7A4AD" w14:textId="3F4CE07F" w:rsidR="00B71921" w:rsidRPr="000C0B9C" w:rsidRDefault="00B71921" w:rsidP="00B71921">
            <w:pPr>
              <w:rPr>
                <w:rFonts w:ascii="Calibri" w:hAnsi="Calibri"/>
                <w:sz w:val="22"/>
                <w:szCs w:val="22"/>
              </w:rPr>
            </w:pPr>
            <w:r w:rsidRPr="000C0B9C">
              <w:rPr>
                <w:rFonts w:ascii="Calibri" w:hAnsi="Calibri"/>
                <w:sz w:val="22"/>
                <w:szCs w:val="22"/>
              </w:rPr>
              <w:t xml:space="preserve">Site: </w:t>
            </w:r>
          </w:p>
          <w:p w14:paraId="63A5633A" w14:textId="269E1EE3" w:rsidR="00B71921" w:rsidRPr="000C0B9C" w:rsidRDefault="00B71921" w:rsidP="00B71921">
            <w:pPr>
              <w:rPr>
                <w:rFonts w:ascii="Calibri" w:hAnsi="Calibri"/>
                <w:sz w:val="22"/>
                <w:szCs w:val="22"/>
              </w:rPr>
            </w:pPr>
            <w:r w:rsidRPr="000C0B9C">
              <w:rPr>
                <w:rFonts w:ascii="Calibri" w:hAnsi="Calibri"/>
                <w:sz w:val="22"/>
                <w:szCs w:val="22"/>
              </w:rPr>
              <w:t xml:space="preserve">Adresse physique: </w:t>
            </w:r>
            <w:r w:rsidR="000C0B9C" w:rsidRPr="000C0B9C">
              <w:rPr>
                <w:rFonts w:ascii="Calibri" w:hAnsi="Calibri"/>
                <w:sz w:val="22"/>
                <w:szCs w:val="22"/>
              </w:rPr>
              <w:t>YIMBAYA TANNERIE (</w:t>
            </w:r>
            <w:proofErr w:type="spellStart"/>
            <w:r w:rsidR="000C0B9C" w:rsidRPr="000C0B9C">
              <w:rPr>
                <w:rFonts w:ascii="Calibri" w:hAnsi="Calibri"/>
                <w:sz w:val="22"/>
                <w:szCs w:val="22"/>
              </w:rPr>
              <w:t>Matoto</w:t>
            </w:r>
            <w:proofErr w:type="spellEnd"/>
            <w:r w:rsidR="000C0B9C" w:rsidRPr="000C0B9C">
              <w:rPr>
                <w:rFonts w:ascii="Calibri" w:hAnsi="Calibri"/>
                <w:sz w:val="22"/>
                <w:szCs w:val="22"/>
              </w:rPr>
              <w:t xml:space="preserve">) </w:t>
            </w:r>
          </w:p>
          <w:p w14:paraId="5ADC94DD" w14:textId="77777777" w:rsidR="00B71921" w:rsidRPr="000C0B9C" w:rsidRDefault="00B71921" w:rsidP="00B71921">
            <w:pPr>
              <w:rPr>
                <w:rFonts w:ascii="Calibri" w:hAnsi="Calibri"/>
                <w:sz w:val="22"/>
                <w:szCs w:val="22"/>
              </w:rPr>
            </w:pPr>
            <w:r w:rsidRPr="000C0B9C">
              <w:rPr>
                <w:rFonts w:ascii="Calibri" w:hAnsi="Calibri"/>
                <w:sz w:val="22"/>
                <w:szCs w:val="22"/>
              </w:rPr>
              <w:t>Ville: Conakry</w:t>
            </w:r>
          </w:p>
          <w:p w14:paraId="66F3DA85" w14:textId="397872C0" w:rsidR="00FA7685" w:rsidRPr="000C0B9C" w:rsidRDefault="00B71921" w:rsidP="00F969F7">
            <w:pPr>
              <w:contextualSpacing w:val="0"/>
              <w:rPr>
                <w:rFonts w:ascii="Calibri" w:hAnsi="Calibri"/>
                <w:sz w:val="22"/>
                <w:szCs w:val="22"/>
              </w:rPr>
            </w:pPr>
            <w:r w:rsidRPr="000C0B9C">
              <w:rPr>
                <w:rFonts w:ascii="Calibri" w:hAnsi="Calibri"/>
                <w:sz w:val="22"/>
                <w:szCs w:val="22"/>
              </w:rPr>
              <w:t xml:space="preserve">Horaires d’ouverture: </w:t>
            </w:r>
            <w:r w:rsidR="009B0EF4" w:rsidRPr="000C0B9C">
              <w:rPr>
                <w:rFonts w:ascii="Calibri" w:hAnsi="Calibri"/>
                <w:sz w:val="22"/>
                <w:szCs w:val="22"/>
              </w:rPr>
              <w:t xml:space="preserve">8h- 16 h 30 </w:t>
            </w:r>
            <w:proofErr w:type="spellStart"/>
            <w:r w:rsidR="009B0EF4" w:rsidRPr="000C0B9C">
              <w:rPr>
                <w:rFonts w:ascii="Calibri" w:hAnsi="Calibri"/>
                <w:sz w:val="22"/>
                <w:szCs w:val="22"/>
              </w:rPr>
              <w:t>voir</w:t>
            </w:r>
            <w:proofErr w:type="spellEnd"/>
            <w:r w:rsidR="009B0EF4" w:rsidRPr="000C0B9C">
              <w:rPr>
                <w:rFonts w:ascii="Calibri" w:hAnsi="Calibri"/>
                <w:sz w:val="22"/>
                <w:szCs w:val="22"/>
              </w:rPr>
              <w:t xml:space="preserve"> 18 h en cas d’urgence</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lastRenderedPageBreak/>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5A4160F" w14:textId="20236AC7" w:rsidR="00B244DB" w:rsidRDefault="000C0B9C" w:rsidP="0061181A">
            <w:pPr>
              <w:rPr>
                <w:rFonts w:ascii="Calibri" w:eastAsia="Calibri" w:hAnsi="Calibri" w:cs="Calibri"/>
                <w:sz w:val="22"/>
                <w:szCs w:val="22"/>
              </w:rPr>
            </w:pPr>
            <w:r>
              <w:rPr>
                <w:rFonts w:ascii="Calibri" w:eastAsia="Calibri" w:hAnsi="Calibri" w:cs="Calibri"/>
                <w:sz w:val="22"/>
                <w:szCs w:val="22"/>
              </w:rPr>
              <w:t>Il faut former des cadres œuvrant dans le domaine des explosifs auprès de organismes nationaux pour une meilleurs maitrise des mesures de sécurité.</w:t>
            </w:r>
          </w:p>
          <w:p w14:paraId="0B2CA81B" w14:textId="1388024B" w:rsidR="000C0B9C" w:rsidRPr="0061181A" w:rsidRDefault="000C0B9C" w:rsidP="0061181A">
            <w:pPr>
              <w:rPr>
                <w:rFonts w:ascii="Calibri" w:eastAsia="Calibri" w:hAnsi="Calibri" w:cs="Calibri"/>
                <w:sz w:val="22"/>
                <w:szCs w:val="22"/>
              </w:rPr>
            </w:pPr>
            <w:r>
              <w:rPr>
                <w:rFonts w:ascii="Calibri" w:eastAsia="Calibri" w:hAnsi="Calibri" w:cs="Calibri"/>
                <w:sz w:val="22"/>
                <w:szCs w:val="22"/>
              </w:rPr>
              <w:t xml:space="preserve">Il faut former les cadres dans les grandes écoles sur les explosifs. </w:t>
            </w: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3EB69699" w14:textId="13DA9FC8" w:rsidR="00703F1A" w:rsidRPr="00703F1A" w:rsidRDefault="00703F1A" w:rsidP="00703F1A">
            <w:pPr>
              <w:rPr>
                <w:rFonts w:ascii="Calibri" w:eastAsia="Calibri" w:hAnsi="Calibri" w:cs="Calibri"/>
                <w:sz w:val="22"/>
                <w:szCs w:val="22"/>
              </w:rPr>
            </w:pPr>
            <w:r w:rsidRPr="00703F1A">
              <w:rPr>
                <w:rFonts w:ascii="Calibri" w:eastAsia="Calibri" w:hAnsi="Calibri" w:cs="Calibri"/>
                <w:sz w:val="22"/>
                <w:szCs w:val="22"/>
              </w:rPr>
              <w:t xml:space="preserve">Aucun document ne nous a été fourni justifiant </w:t>
            </w:r>
            <w:r>
              <w:rPr>
                <w:rFonts w:ascii="Calibri" w:eastAsia="Calibri" w:hAnsi="Calibri" w:cs="Calibri"/>
                <w:sz w:val="22"/>
                <w:szCs w:val="22"/>
              </w:rPr>
              <w:t>des</w:t>
            </w:r>
            <w:r w:rsidRPr="00703F1A">
              <w:rPr>
                <w:rFonts w:ascii="Calibri" w:eastAsia="Calibri" w:hAnsi="Calibri" w:cs="Calibri"/>
                <w:sz w:val="22"/>
                <w:szCs w:val="22"/>
              </w:rPr>
              <w:t xml:space="preserve"> compétence</w:t>
            </w:r>
            <w:r>
              <w:rPr>
                <w:rFonts w:ascii="Calibri" w:eastAsia="Calibri" w:hAnsi="Calibri" w:cs="Calibri"/>
                <w:sz w:val="22"/>
                <w:szCs w:val="22"/>
              </w:rPr>
              <w:t>s</w:t>
            </w:r>
            <w:r w:rsidRPr="00703F1A">
              <w:rPr>
                <w:rFonts w:ascii="Calibri" w:eastAsia="Calibri" w:hAnsi="Calibri" w:cs="Calibri"/>
                <w:sz w:val="22"/>
                <w:szCs w:val="22"/>
              </w:rPr>
              <w:t xml:space="preserve"> respectives du Ministre ou de la Direction Nationale </w:t>
            </w:r>
            <w:r w:rsidR="00317A46">
              <w:rPr>
                <w:rFonts w:ascii="Calibri" w:eastAsia="Calibri" w:hAnsi="Calibri" w:cs="Calibri"/>
                <w:sz w:val="22"/>
                <w:szCs w:val="22"/>
              </w:rPr>
              <w:t xml:space="preserve">des Mines </w:t>
            </w:r>
            <w:r w:rsidRPr="00703F1A">
              <w:rPr>
                <w:rFonts w:ascii="Calibri" w:eastAsia="Calibri" w:hAnsi="Calibri" w:cs="Calibri"/>
                <w:sz w:val="22"/>
                <w:szCs w:val="22"/>
              </w:rPr>
              <w:t>selon que l'autorisation est temporaire ou permanente. Il s'agit d'une simple pratique administrative.</w:t>
            </w:r>
          </w:p>
          <w:p w14:paraId="7DBC4172" w14:textId="77777777" w:rsidR="00703F1A" w:rsidRPr="00703F1A" w:rsidRDefault="00703F1A" w:rsidP="00703F1A">
            <w:pPr>
              <w:rPr>
                <w:rFonts w:ascii="Calibri" w:eastAsia="Calibri" w:hAnsi="Calibri" w:cs="Calibri"/>
                <w:sz w:val="22"/>
                <w:szCs w:val="22"/>
              </w:rPr>
            </w:pPr>
          </w:p>
          <w:p w14:paraId="40130E37" w14:textId="05B70A6C" w:rsidR="002F0B33" w:rsidRPr="00DB2AEF" w:rsidRDefault="00703F1A" w:rsidP="00703F1A">
            <w:pPr>
              <w:rPr>
                <w:rFonts w:ascii="Calibri" w:eastAsia="Calibri" w:hAnsi="Calibri" w:cs="Calibri"/>
                <w:sz w:val="22"/>
                <w:szCs w:val="22"/>
              </w:rPr>
            </w:pPr>
            <w:r w:rsidRPr="00703F1A">
              <w:rPr>
                <w:rFonts w:ascii="Calibri" w:eastAsia="Calibri" w:hAnsi="Calibri" w:cs="Calibri"/>
                <w:sz w:val="22"/>
                <w:szCs w:val="22"/>
              </w:rPr>
              <w:t>L'article 148 du Code Minier prévoit que les Ministres des Mines et de la Sécurité autorisent l'import, l'export,</w:t>
            </w:r>
            <w:r>
              <w:rPr>
                <w:rFonts w:ascii="Calibri" w:eastAsia="Calibri" w:hAnsi="Calibri" w:cs="Calibri"/>
                <w:sz w:val="22"/>
                <w:szCs w:val="22"/>
              </w:rPr>
              <w:t xml:space="preserve"> </w:t>
            </w:r>
            <w:r w:rsidRPr="00703F1A">
              <w:rPr>
                <w:rFonts w:ascii="Calibri" w:eastAsia="Calibri" w:hAnsi="Calibri" w:cs="Calibri"/>
                <w:sz w:val="22"/>
                <w:szCs w:val="22"/>
              </w:rPr>
              <w:t xml:space="preserve">fabrication, stockage, manutention, achat, vente. On peut noter que le transport et l'utilisation ne sont pas visés. L'article 6 de l'arrêté conjoint A12 portant application de l'article 148 du Code Minier indique que la fabrication, le transport, le stockage, la manutention, l'achat et l'utilisation des explosifs à usage civil suppose une autorisation de la Direction Nationale des Mines. Ainsi l'arrêté ajoute le transport et l'utilisation dans le champ de l'autorisation et ne fait référence qu'à la seule Direction Nationale des Mines. Il y a donc un conflit de champ d'application, de compétences et donc de textes. </w:t>
            </w:r>
          </w:p>
        </w:tc>
      </w:tr>
    </w:tbl>
    <w:p w14:paraId="63977976" w14:textId="28991212" w:rsidR="00FA7685" w:rsidRDefault="00FA7685"/>
    <w:p w14:paraId="135701C7" w14:textId="5B7D7090" w:rsidR="001D5A08" w:rsidRDefault="001D5A08"/>
    <w:p w14:paraId="76543B98" w14:textId="5681C97A" w:rsidR="001D5A08" w:rsidRDefault="001D5A08"/>
    <w:p w14:paraId="0E193964" w14:textId="3427C294" w:rsidR="00FF0467" w:rsidRDefault="00165ED3" w:rsidP="00FF0467">
      <w:pPr>
        <w:ind w:left="-567"/>
      </w:pPr>
      <w:r>
        <w:rPr>
          <w:rFonts w:asciiTheme="minorHAnsi" w:eastAsiaTheme="minorHAnsi" w:hAnsiTheme="minorHAnsi" w:cstheme="minorBidi"/>
          <w:sz w:val="22"/>
          <w:szCs w:val="22"/>
          <w:lang w:eastAsia="en-US"/>
        </w:rPr>
        <w:object w:dxaOrig="10644" w:dyaOrig="10908" w14:anchorId="3B367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2.2pt;height:545.4pt" o:ole="">
            <v:imagedata r:id="rId9" o:title="" cropleft="8869f" cropright="8161f"/>
          </v:shape>
          <o:OLEObject Type="Embed" ProgID="Visio.Drawing.15" ShapeID="_x0000_i1027" DrawAspect="Content" ObjectID="_1548177321" r:id="rId10"/>
        </w:object>
      </w:r>
      <w:bookmarkStart w:id="1" w:name="_GoBack"/>
      <w:bookmarkEnd w:id="1"/>
    </w:p>
    <w:p w14:paraId="78BB5DE8" w14:textId="77777777" w:rsidR="00FF0467" w:rsidRDefault="00FF0467" w:rsidP="00FF0467"/>
    <w:p w14:paraId="4C1B370B" w14:textId="5C3BA146" w:rsidR="001D5A08" w:rsidRDefault="001D5A08"/>
    <w:sectPr w:rsidR="001D5A08">
      <w:footerReference w:type="default" r:id="rId11"/>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5D3ED" w14:textId="77777777" w:rsidR="00AB4B8E" w:rsidRDefault="00AB4B8E" w:rsidP="003B1A64">
      <w:r>
        <w:separator/>
      </w:r>
    </w:p>
  </w:endnote>
  <w:endnote w:type="continuationSeparator" w:id="0">
    <w:p w14:paraId="20F472B8" w14:textId="77777777" w:rsidR="00AB4B8E" w:rsidRDefault="00AB4B8E"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4BEDAB68" w:rsidR="00F36430" w:rsidRDefault="00F36430">
        <w:pPr>
          <w:pStyle w:val="Pieddepage"/>
          <w:jc w:val="right"/>
        </w:pPr>
        <w:r>
          <w:fldChar w:fldCharType="begin"/>
        </w:r>
        <w:r>
          <w:instrText>PAGE   \* MERGEFORMAT</w:instrText>
        </w:r>
        <w:r>
          <w:fldChar w:fldCharType="separate"/>
        </w:r>
        <w:r w:rsidR="00165ED3">
          <w:rPr>
            <w:noProof/>
          </w:rPr>
          <w:t>1</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7F4A3" w14:textId="77777777" w:rsidR="00AB4B8E" w:rsidRDefault="00AB4B8E" w:rsidP="003B1A64">
      <w:r>
        <w:separator/>
      </w:r>
    </w:p>
  </w:footnote>
  <w:footnote w:type="continuationSeparator" w:id="0">
    <w:p w14:paraId="139AD4AE" w14:textId="77777777" w:rsidR="00AB4B8E" w:rsidRDefault="00AB4B8E"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21"/>
  </w:num>
  <w:num w:numId="4">
    <w:abstractNumId w:val="7"/>
  </w:num>
  <w:num w:numId="5">
    <w:abstractNumId w:val="20"/>
  </w:num>
  <w:num w:numId="6">
    <w:abstractNumId w:val="23"/>
  </w:num>
  <w:num w:numId="7">
    <w:abstractNumId w:val="6"/>
  </w:num>
  <w:num w:numId="8">
    <w:abstractNumId w:val="17"/>
  </w:num>
  <w:num w:numId="9">
    <w:abstractNumId w:val="18"/>
  </w:num>
  <w:num w:numId="10">
    <w:abstractNumId w:val="24"/>
  </w:num>
  <w:num w:numId="11">
    <w:abstractNumId w:val="8"/>
  </w:num>
  <w:num w:numId="12">
    <w:abstractNumId w:val="15"/>
  </w:num>
  <w:num w:numId="13">
    <w:abstractNumId w:val="22"/>
  </w:num>
  <w:num w:numId="14">
    <w:abstractNumId w:val="12"/>
  </w:num>
  <w:num w:numId="15">
    <w:abstractNumId w:val="4"/>
  </w:num>
  <w:num w:numId="16">
    <w:abstractNumId w:val="3"/>
  </w:num>
  <w:num w:numId="17">
    <w:abstractNumId w:val="13"/>
  </w:num>
  <w:num w:numId="18">
    <w:abstractNumId w:val="5"/>
  </w:num>
  <w:num w:numId="19">
    <w:abstractNumId w:val="27"/>
  </w:num>
  <w:num w:numId="20">
    <w:abstractNumId w:val="19"/>
  </w:num>
  <w:num w:numId="21">
    <w:abstractNumId w:val="9"/>
  </w:num>
  <w:num w:numId="22">
    <w:abstractNumId w:val="14"/>
  </w:num>
  <w:num w:numId="23">
    <w:abstractNumId w:val="1"/>
  </w:num>
  <w:num w:numId="24">
    <w:abstractNumId w:val="10"/>
  </w:num>
  <w:num w:numId="25">
    <w:abstractNumId w:val="2"/>
  </w:num>
  <w:num w:numId="26">
    <w:abstractNumId w:val="25"/>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240F9"/>
    <w:rsid w:val="00035FD2"/>
    <w:rsid w:val="000609DC"/>
    <w:rsid w:val="00062FCD"/>
    <w:rsid w:val="00083314"/>
    <w:rsid w:val="000A366E"/>
    <w:rsid w:val="000C0B9C"/>
    <w:rsid w:val="00153071"/>
    <w:rsid w:val="00165ED3"/>
    <w:rsid w:val="00167059"/>
    <w:rsid w:val="00172A8F"/>
    <w:rsid w:val="00196E44"/>
    <w:rsid w:val="001D5A08"/>
    <w:rsid w:val="00244365"/>
    <w:rsid w:val="002938F9"/>
    <w:rsid w:val="002B00CB"/>
    <w:rsid w:val="002F0B33"/>
    <w:rsid w:val="002F6DB4"/>
    <w:rsid w:val="00317A46"/>
    <w:rsid w:val="00367F48"/>
    <w:rsid w:val="00380506"/>
    <w:rsid w:val="003B1A64"/>
    <w:rsid w:val="00407C20"/>
    <w:rsid w:val="00444E86"/>
    <w:rsid w:val="00452015"/>
    <w:rsid w:val="00453724"/>
    <w:rsid w:val="004915E6"/>
    <w:rsid w:val="00514B52"/>
    <w:rsid w:val="00521CE0"/>
    <w:rsid w:val="005605ED"/>
    <w:rsid w:val="0056723F"/>
    <w:rsid w:val="005730EE"/>
    <w:rsid w:val="005B39D3"/>
    <w:rsid w:val="005D0E14"/>
    <w:rsid w:val="005D4BC2"/>
    <w:rsid w:val="005E4675"/>
    <w:rsid w:val="0061181A"/>
    <w:rsid w:val="00632B96"/>
    <w:rsid w:val="00637CD2"/>
    <w:rsid w:val="006726C2"/>
    <w:rsid w:val="00674594"/>
    <w:rsid w:val="00703F1A"/>
    <w:rsid w:val="00765578"/>
    <w:rsid w:val="007949F6"/>
    <w:rsid w:val="007B488B"/>
    <w:rsid w:val="007B4DDF"/>
    <w:rsid w:val="007D6319"/>
    <w:rsid w:val="007E5245"/>
    <w:rsid w:val="007E68FB"/>
    <w:rsid w:val="007E7288"/>
    <w:rsid w:val="008515F0"/>
    <w:rsid w:val="0085262A"/>
    <w:rsid w:val="0086167B"/>
    <w:rsid w:val="00924C12"/>
    <w:rsid w:val="009702D7"/>
    <w:rsid w:val="00974DFD"/>
    <w:rsid w:val="009837C5"/>
    <w:rsid w:val="009B0EF4"/>
    <w:rsid w:val="009C1CC3"/>
    <w:rsid w:val="00A3183C"/>
    <w:rsid w:val="00A46A2A"/>
    <w:rsid w:val="00AB4B8E"/>
    <w:rsid w:val="00AB7870"/>
    <w:rsid w:val="00B244DB"/>
    <w:rsid w:val="00B53C55"/>
    <w:rsid w:val="00B71921"/>
    <w:rsid w:val="00B764CA"/>
    <w:rsid w:val="00BD3B30"/>
    <w:rsid w:val="00BE6C22"/>
    <w:rsid w:val="00C30733"/>
    <w:rsid w:val="00C30BE3"/>
    <w:rsid w:val="00C71C6B"/>
    <w:rsid w:val="00CA09ED"/>
    <w:rsid w:val="00CC2184"/>
    <w:rsid w:val="00CD0CBA"/>
    <w:rsid w:val="00D54E78"/>
    <w:rsid w:val="00D55422"/>
    <w:rsid w:val="00D925AA"/>
    <w:rsid w:val="00DB2AEF"/>
    <w:rsid w:val="00DB4E26"/>
    <w:rsid w:val="00DE0E86"/>
    <w:rsid w:val="00E0599F"/>
    <w:rsid w:val="00E73856"/>
    <w:rsid w:val="00E763ED"/>
    <w:rsid w:val="00EB444C"/>
    <w:rsid w:val="00EB7374"/>
    <w:rsid w:val="00EC416B"/>
    <w:rsid w:val="00EC7039"/>
    <w:rsid w:val="00F00DD8"/>
    <w:rsid w:val="00F0798C"/>
    <w:rsid w:val="00F27542"/>
    <w:rsid w:val="00F36430"/>
    <w:rsid w:val="00F44883"/>
    <w:rsid w:val="00F718F4"/>
    <w:rsid w:val="00F969F7"/>
    <w:rsid w:val="00FA7685"/>
    <w:rsid w:val="00FC1B28"/>
    <w:rsid w:val="00FE40EF"/>
    <w:rsid w:val="00FF0467"/>
    <w:rsid w:val="00FF7885"/>
    <w:rsid w:val="00FF7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Dessin_Microsoft_Visio1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2189-E410-42D0-92B1-3FC2BF9C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4564</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4</cp:revision>
  <dcterms:created xsi:type="dcterms:W3CDTF">2017-02-03T10:31:00Z</dcterms:created>
  <dcterms:modified xsi:type="dcterms:W3CDTF">2017-02-09T19:29:00Z</dcterms:modified>
</cp:coreProperties>
</file>