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:rsidR="00974DFD" w:rsidRDefault="00974DFD" w:rsidP="00974DFD">
      <w:pPr>
        <w:tabs>
          <w:tab w:val="left" w:pos="6910"/>
        </w:tabs>
      </w:pPr>
      <w:r>
        <w:tab/>
      </w:r>
    </w:p>
    <w:p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:rsidR="00FA7685" w:rsidRDefault="00FA7685">
      <w:pPr>
        <w:jc w:val="center"/>
      </w:pPr>
    </w:p>
    <w:p w:rsidR="00751A8E" w:rsidRDefault="00CC3EE6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C3EE6">
        <w:rPr>
          <w:rFonts w:ascii="Calibri" w:eastAsia="Calibri" w:hAnsi="Calibri" w:cs="Calibri"/>
          <w:b/>
          <w:sz w:val="22"/>
          <w:szCs w:val="22"/>
        </w:rPr>
        <w:t>Permis de conduire pour les embarcation</w:t>
      </w:r>
      <w:r>
        <w:rPr>
          <w:rFonts w:ascii="Calibri" w:eastAsia="Calibri" w:hAnsi="Calibri" w:cs="Calibri"/>
          <w:b/>
          <w:sz w:val="22"/>
          <w:szCs w:val="22"/>
        </w:rPr>
        <w:t>s et les vedettes de servitudes</w:t>
      </w:r>
    </w:p>
    <w:p w:rsidR="00CC3EE6" w:rsidRPr="00EB444C" w:rsidRDefault="00CC3EE6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:rsidTr="0061181A">
        <w:trPr>
          <w:trHeight w:val="400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:rsidR="00FA7685" w:rsidRPr="0061181A" w:rsidRDefault="00CC3EE6" w:rsidP="00AE52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Permis délivré par le Directeur Général de l</w:t>
            </w:r>
            <w:r w:rsidR="00AC0632">
              <w:rPr>
                <w:rFonts w:ascii="Calibri" w:hAnsi="Calibri"/>
                <w:color w:val="000000" w:themeColor="text1"/>
                <w:sz w:val="22"/>
                <w:szCs w:val="22"/>
              </w:rPr>
              <w:t>’Agence de l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 Navigation Maritime</w:t>
            </w:r>
          </w:p>
        </w:tc>
      </w:tr>
      <w:tr w:rsidR="00EB444C" w:rsidRPr="0061181A" w:rsidTr="0061181A">
        <w:trPr>
          <w:trHeight w:val="420"/>
        </w:trPr>
        <w:tc>
          <w:tcPr>
            <w:tcW w:w="2554" w:type="dxa"/>
            <w:vAlign w:val="center"/>
          </w:tcPr>
          <w:p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:rsidR="007E7288" w:rsidRPr="00CB6D39" w:rsidRDefault="00CC3EE6" w:rsidP="00AE52FD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EE6">
              <w:rPr>
                <w:rFonts w:ascii="Calibri" w:hAnsi="Calibri"/>
                <w:color w:val="000000" w:themeColor="text1"/>
                <w:sz w:val="22"/>
                <w:szCs w:val="22"/>
              </w:rPr>
              <w:t>Confère au détenteur  le droit de conduire des navires à moteur d'une puissance de 150 à 800 CV  dans les eaux territoriales guinéennes.</w:t>
            </w:r>
          </w:p>
        </w:tc>
      </w:tr>
      <w:tr w:rsidR="00EB444C" w:rsidRPr="0061181A" w:rsidTr="0061181A">
        <w:trPr>
          <w:trHeight w:val="1443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:rsidR="00FE40EF" w:rsidRPr="00CB6D39" w:rsidRDefault="00CC3EE6" w:rsidP="00CC3EE6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EE6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portant homologation des tarifs de prestations de service de l'Agence de Navigation Maritime.</w:t>
            </w:r>
          </w:p>
        </w:tc>
      </w:tr>
      <w:tr w:rsidR="00EB444C" w:rsidRPr="0061181A" w:rsidTr="0061181A">
        <w:trPr>
          <w:trHeight w:val="300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Délais de </w:t>
            </w:r>
            <w:proofErr w:type="spellStart"/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délivrance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</w:t>
            </w:r>
            <w:proofErr w:type="spellEnd"/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:rsidR="00CC2184" w:rsidRPr="0061181A" w:rsidRDefault="00AC0632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E55BA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jours ouvrables</w:t>
            </w:r>
          </w:p>
        </w:tc>
      </w:tr>
      <w:tr w:rsidR="003B1A64" w:rsidRPr="0061181A" w:rsidTr="0061181A">
        <w:trPr>
          <w:trHeight w:val="240"/>
        </w:trPr>
        <w:tc>
          <w:tcPr>
            <w:tcW w:w="2554" w:type="dxa"/>
            <w:vAlign w:val="center"/>
          </w:tcPr>
          <w:p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:rsidR="003B1A64" w:rsidRPr="00CC3EE6" w:rsidRDefault="00CC3EE6" w:rsidP="00CC3EE6">
            <w:pPr>
              <w:pStyle w:val="TexteNodalis"/>
            </w:pPr>
            <w:r>
              <w:t>3 ans renouvelables</w:t>
            </w:r>
          </w:p>
        </w:tc>
      </w:tr>
      <w:tr w:rsidR="00EB444C" w:rsidRPr="0061181A" w:rsidTr="008515F0">
        <w:trPr>
          <w:trHeight w:val="1431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:rsidR="00F44883" w:rsidRPr="005D4BC2" w:rsidRDefault="00CC3EE6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Voir </w:t>
            </w:r>
            <w:r w:rsidRPr="00CC3EE6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portant homologation des tarifs de prestations de service de l'Agence de Navigation Maritime.</w:t>
            </w:r>
          </w:p>
        </w:tc>
      </w:tr>
      <w:tr w:rsidR="00EB444C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:rsidR="00703F1A" w:rsidRPr="00CB6D39" w:rsidRDefault="00CC3EE6" w:rsidP="00CB6D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Avoir réussi l’épreuve pratique de l’inspection</w:t>
            </w:r>
          </w:p>
        </w:tc>
        <w:tc>
          <w:tcPr>
            <w:tcW w:w="5671" w:type="dxa"/>
            <w:vAlign w:val="center"/>
          </w:tcPr>
          <w:p w:rsidR="00AC0632" w:rsidRDefault="00AC0632" w:rsidP="00CC3EE6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Demande </w:t>
            </w:r>
          </w:p>
          <w:p w:rsidR="00CC3EE6" w:rsidRPr="00CC3EE6" w:rsidRDefault="00CC3EE6" w:rsidP="00CC3EE6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CC3EE6">
              <w:rPr>
                <w:rFonts w:ascii="Calibri" w:hAnsi="Calibri"/>
                <w:sz w:val="22"/>
                <w:szCs w:val="22"/>
              </w:rPr>
              <w:t>Carte d'identité Nationale</w:t>
            </w:r>
            <w:r>
              <w:rPr>
                <w:rFonts w:ascii="Calibri" w:hAnsi="Calibri"/>
                <w:sz w:val="22"/>
                <w:szCs w:val="22"/>
              </w:rPr>
              <w:t xml:space="preserve"> ou passeport (pour les étrangers)</w:t>
            </w:r>
            <w:r w:rsidRPr="00CC3EE6">
              <w:rPr>
                <w:rFonts w:ascii="Calibri" w:hAnsi="Calibri"/>
                <w:sz w:val="22"/>
                <w:szCs w:val="22"/>
              </w:rPr>
              <w:t>;</w:t>
            </w:r>
          </w:p>
          <w:p w:rsidR="00CC3EE6" w:rsidRPr="00CC3EE6" w:rsidRDefault="00CC3EE6" w:rsidP="00CC3EE6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CC3EE6">
              <w:rPr>
                <w:rFonts w:ascii="Calibri" w:hAnsi="Calibri"/>
                <w:sz w:val="22"/>
                <w:szCs w:val="22"/>
              </w:rPr>
              <w:t>2 Photos d'identité</w:t>
            </w:r>
          </w:p>
          <w:p w:rsidR="00CC3EE6" w:rsidRPr="00CC3EE6" w:rsidRDefault="00CC3EE6" w:rsidP="00CC3EE6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CC3EE6">
              <w:rPr>
                <w:rFonts w:ascii="Calibri" w:hAnsi="Calibri"/>
                <w:sz w:val="22"/>
                <w:szCs w:val="22"/>
              </w:rPr>
              <w:t>Certificat de visite et de contrevisite</w:t>
            </w:r>
          </w:p>
          <w:p w:rsidR="00CC3EE6" w:rsidRPr="00CC3EE6" w:rsidRDefault="00CC3EE6" w:rsidP="00CC3EE6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CC3EE6">
              <w:rPr>
                <w:rFonts w:ascii="Calibri" w:hAnsi="Calibri"/>
                <w:sz w:val="22"/>
                <w:szCs w:val="22"/>
              </w:rPr>
              <w:t>PV d'épreuve pratique de l'Inspection</w:t>
            </w:r>
          </w:p>
          <w:p w:rsidR="00751A8E" w:rsidRPr="00CC3EE6" w:rsidRDefault="00CC3EE6" w:rsidP="00CC3EE6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CC3EE6">
              <w:rPr>
                <w:rFonts w:ascii="Calibri" w:hAnsi="Calibri"/>
                <w:sz w:val="22"/>
                <w:szCs w:val="22"/>
              </w:rPr>
              <w:t>de navigation maritime</w:t>
            </w:r>
          </w:p>
        </w:tc>
      </w:tr>
      <w:tr w:rsidR="00FA7685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1E55B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:rsidR="00CB6D39" w:rsidRDefault="00CC3EE6" w:rsidP="00CC3EE6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E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Promoteur :</w:t>
            </w:r>
            <w:r w:rsidRPr="00CC3E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adresse une demande de permis de conduire au S</w:t>
            </w:r>
            <w:r w:rsidR="00AC0632">
              <w:rPr>
                <w:rFonts w:ascii="Calibri" w:hAnsi="Calibri"/>
                <w:color w:val="000000" w:themeColor="text1"/>
                <w:sz w:val="22"/>
                <w:szCs w:val="22"/>
              </w:rPr>
              <w:t>ecrétariat central</w:t>
            </w:r>
            <w:r w:rsidRPr="00CC3E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qui enregistre </w:t>
            </w:r>
            <w:r w:rsidR="00AC0632">
              <w:rPr>
                <w:rFonts w:ascii="Calibri" w:hAnsi="Calibri"/>
                <w:color w:val="000000" w:themeColor="text1"/>
                <w:sz w:val="22"/>
                <w:szCs w:val="22"/>
              </w:rPr>
              <w:t>la demande et transmet au DG de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l’ANAM</w:t>
            </w:r>
          </w:p>
          <w:p w:rsidR="00CC3EE6" w:rsidRDefault="00CC3EE6" w:rsidP="00CC3EE6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E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ANAM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 : instruit le dossier et formule un avis </w:t>
            </w:r>
          </w:p>
          <w:p w:rsidR="00CC3EE6" w:rsidRDefault="00CC3EE6" w:rsidP="00CC3EE6">
            <w:pPr>
              <w:pStyle w:val="Paragraphedeliste"/>
              <w:numPr>
                <w:ilvl w:val="0"/>
                <w:numId w:val="37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C3EE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Directeur Général de l’ANAM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 : signe le permis et </w:t>
            </w:r>
            <w:r w:rsidR="00AC0632">
              <w:rPr>
                <w:rFonts w:ascii="Calibri" w:hAnsi="Calibri"/>
                <w:color w:val="000000" w:themeColor="text1"/>
                <w:sz w:val="22"/>
                <w:szCs w:val="22"/>
              </w:rPr>
              <w:t>le retourne à la Division en charge qui à son tour se charge d’informer le demandeur</w:t>
            </w:r>
          </w:p>
          <w:p w:rsidR="00CC3EE6" w:rsidRPr="00CC3EE6" w:rsidRDefault="00CC3EE6" w:rsidP="00CC3EE6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Le renouvellement est sanctionné par une visite technique qui confirme l’aptitude du demandeur à conduire le navire. </w:t>
            </w:r>
          </w:p>
        </w:tc>
        <w:tc>
          <w:tcPr>
            <w:tcW w:w="5671" w:type="dxa"/>
            <w:vAlign w:val="center"/>
          </w:tcPr>
          <w:p w:rsidR="006C4F21" w:rsidRDefault="00CC3EE6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Oui.</w:t>
            </w:r>
          </w:p>
          <w:p w:rsidR="00CC3EE6" w:rsidRPr="0061181A" w:rsidRDefault="00CC3EE6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Visite d’inspection et visite de renouvellement</w:t>
            </w:r>
          </w:p>
        </w:tc>
      </w:tr>
      <w:tr w:rsidR="00B244DB" w:rsidRPr="0061181A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:rsidR="00751A8E" w:rsidRPr="00B764CA" w:rsidRDefault="00891B91" w:rsidP="00891B9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  <w:r w:rsidR="00751A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5671" w:type="dxa"/>
            <w:vAlign w:val="center"/>
          </w:tcPr>
          <w:p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:rsidR="00C71C6B" w:rsidRPr="0061181A" w:rsidRDefault="00CC3EE6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Permis </w:t>
            </w:r>
            <w:r w:rsidR="00891B91">
              <w:rPr>
                <w:rFonts w:ascii="Calibri" w:hAnsi="Calibri"/>
                <w:sz w:val="22"/>
                <w:szCs w:val="22"/>
              </w:rPr>
              <w:t>de conduire</w:t>
            </w:r>
          </w:p>
        </w:tc>
        <w:tc>
          <w:tcPr>
            <w:tcW w:w="5671" w:type="dxa"/>
            <w:vAlign w:val="center"/>
          </w:tcPr>
          <w:p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CC3EE6" w:rsidRPr="0061181A" w:rsidTr="00CC3EE6">
        <w:trPr>
          <w:trHeight w:val="48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:rsidR="00CC3EE6" w:rsidRPr="0061181A" w:rsidRDefault="00CC3EE6" w:rsidP="00CC3E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Agence de Navigation Maritime (ANAM)</w:t>
            </w:r>
          </w:p>
        </w:tc>
      </w:tr>
      <w:tr w:rsidR="00CC3EE6" w:rsidRPr="0061181A" w:rsidTr="00CC3EE6">
        <w:trPr>
          <w:trHeight w:val="40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:rsidR="00CC3EE6" w:rsidRPr="0061181A" w:rsidRDefault="00CC3EE6" w:rsidP="00CC3E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Directeur général de l’Agence de Navigation Maritime</w:t>
            </w:r>
          </w:p>
        </w:tc>
      </w:tr>
      <w:tr w:rsidR="00CC3EE6" w:rsidRPr="0061181A" w:rsidTr="00CC3EE6">
        <w:trPr>
          <w:trHeight w:val="176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+224 622 37 32 56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ceceurbain.lamah@anam-guinee.com</w:t>
              </w:r>
            </w:hyperlink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534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Site: ww.anam-guinée.com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physique: Agence de Navigation Maritime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 : Conakry</w:t>
            </w:r>
          </w:p>
          <w:p w:rsidR="00CC3EE6" w:rsidRPr="0061181A" w:rsidRDefault="00CC3EE6" w:rsidP="00CC3EE6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8h00 – 16h30</w:t>
            </w:r>
          </w:p>
        </w:tc>
      </w:tr>
      <w:tr w:rsidR="00B244DB" w:rsidRPr="0061181A" w:rsidTr="0061181A">
        <w:trPr>
          <w:trHeight w:val="1760"/>
        </w:trPr>
        <w:tc>
          <w:tcPr>
            <w:tcW w:w="2554" w:type="dxa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8787" w:type="dxa"/>
            <w:gridSpan w:val="2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:rsidTr="0061181A">
        <w:trPr>
          <w:trHeight w:val="1760"/>
        </w:trPr>
        <w:tc>
          <w:tcPr>
            <w:tcW w:w="2554" w:type="dxa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:rsidR="002F0B33" w:rsidRPr="00DB2AEF" w:rsidRDefault="00CC3EE6" w:rsidP="00D018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C3EE6">
              <w:rPr>
                <w:rFonts w:ascii="Calibri" w:eastAsia="Calibri" w:hAnsi="Calibri" w:cs="Calibri"/>
                <w:sz w:val="22"/>
                <w:szCs w:val="22"/>
              </w:rPr>
              <w:t>Le texte instituant le permis n'a pas été identifié, mais l'arrêté 1033/MT/011 indique que l'Agence de Navigation Maritime rend la prestation de service de délivrance des permis de conduire.</w:t>
            </w:r>
          </w:p>
        </w:tc>
      </w:tr>
    </w:tbl>
    <w:p w:rsidR="00CC6410" w:rsidRDefault="00CC6410">
      <w:pPr>
        <w:sectPr w:rsidR="00CC6410">
          <w:footerReference w:type="default" r:id="rId10"/>
          <w:pgSz w:w="11900" w:h="16840"/>
          <w:pgMar w:top="284" w:right="1417" w:bottom="426" w:left="1417" w:header="720" w:footer="720" w:gutter="0"/>
          <w:pgNumType w:start="1"/>
          <w:cols w:space="720"/>
        </w:sectPr>
      </w:pPr>
    </w:p>
    <w:p w:rsidR="00CC6410" w:rsidRDefault="00CC6410">
      <w:r>
        <w:object w:dxaOrig="13620" w:dyaOrig="14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3pt;height:656.75pt" o:ole="">
            <v:imagedata r:id="rId11" o:title="" cropleft="10474f" cropright="651f"/>
          </v:shape>
          <o:OLEObject Type="Embed" ProgID="Visio.Drawing.15" ShapeID="_x0000_i1025" DrawAspect="Content" ObjectID="_1548155923" r:id="rId12"/>
        </w:object>
      </w:r>
    </w:p>
    <w:p w:rsidR="00FA7685" w:rsidRDefault="00FA7685"/>
    <w:sectPr w:rsidR="00FA7685" w:rsidSect="00CC6410"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EA" w:rsidRDefault="001A1AEA" w:rsidP="003B1A64">
      <w:r>
        <w:separator/>
      </w:r>
    </w:p>
  </w:endnote>
  <w:endnote w:type="continuationSeparator" w:id="0">
    <w:p w:rsidR="001A1AEA" w:rsidRDefault="001A1AEA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:rsidR="00F36430" w:rsidRDefault="00FA093B">
        <w:pPr>
          <w:pStyle w:val="Pieddepage"/>
          <w:jc w:val="right"/>
        </w:pPr>
        <w:r>
          <w:fldChar w:fldCharType="begin"/>
        </w:r>
        <w:r w:rsidR="00F36430">
          <w:instrText>PAGE   \* MERGEFORMAT</w:instrText>
        </w:r>
        <w:r>
          <w:fldChar w:fldCharType="separate"/>
        </w:r>
        <w:r w:rsidR="001E55BA">
          <w:rPr>
            <w:noProof/>
          </w:rPr>
          <w:t>1</w:t>
        </w:r>
        <w:r>
          <w:fldChar w:fldCharType="end"/>
        </w:r>
      </w:p>
    </w:sdtContent>
  </w:sdt>
  <w:p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EA" w:rsidRDefault="001A1AEA" w:rsidP="003B1A64">
      <w:r>
        <w:separator/>
      </w:r>
    </w:p>
  </w:footnote>
  <w:footnote w:type="continuationSeparator" w:id="0">
    <w:p w:rsidR="001A1AEA" w:rsidRDefault="001A1AEA" w:rsidP="003B1A64">
      <w:r>
        <w:continuationSeparator/>
      </w:r>
    </w:p>
  </w:footnote>
  <w:footnote w:id="1">
    <w:p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7C32"/>
    <w:multiLevelType w:val="hybridMultilevel"/>
    <w:tmpl w:val="D22A27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F31D2"/>
    <w:multiLevelType w:val="hybridMultilevel"/>
    <w:tmpl w:val="FD98397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4E5326"/>
    <w:multiLevelType w:val="hybridMultilevel"/>
    <w:tmpl w:val="65C48C8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7"/>
  </w:num>
  <w:num w:numId="5">
    <w:abstractNumId w:val="27"/>
  </w:num>
  <w:num w:numId="6">
    <w:abstractNumId w:val="30"/>
  </w:num>
  <w:num w:numId="7">
    <w:abstractNumId w:val="6"/>
  </w:num>
  <w:num w:numId="8">
    <w:abstractNumId w:val="24"/>
  </w:num>
  <w:num w:numId="9">
    <w:abstractNumId w:val="25"/>
  </w:num>
  <w:num w:numId="10">
    <w:abstractNumId w:val="32"/>
  </w:num>
  <w:num w:numId="11">
    <w:abstractNumId w:val="8"/>
  </w:num>
  <w:num w:numId="12">
    <w:abstractNumId w:val="18"/>
  </w:num>
  <w:num w:numId="13">
    <w:abstractNumId w:val="29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36"/>
  </w:num>
  <w:num w:numId="20">
    <w:abstractNumId w:val="26"/>
  </w:num>
  <w:num w:numId="21">
    <w:abstractNumId w:val="10"/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  <w:num w:numId="26">
    <w:abstractNumId w:val="33"/>
  </w:num>
  <w:num w:numId="27">
    <w:abstractNumId w:val="14"/>
  </w:num>
  <w:num w:numId="28">
    <w:abstractNumId w:val="22"/>
  </w:num>
  <w:num w:numId="29">
    <w:abstractNumId w:val="34"/>
  </w:num>
  <w:num w:numId="30">
    <w:abstractNumId w:val="31"/>
  </w:num>
  <w:num w:numId="31">
    <w:abstractNumId w:val="21"/>
  </w:num>
  <w:num w:numId="32">
    <w:abstractNumId w:val="19"/>
  </w:num>
  <w:num w:numId="33">
    <w:abstractNumId w:val="20"/>
  </w:num>
  <w:num w:numId="34">
    <w:abstractNumId w:val="23"/>
  </w:num>
  <w:num w:numId="35">
    <w:abstractNumId w:val="9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685"/>
    <w:rsid w:val="000221EB"/>
    <w:rsid w:val="000227B9"/>
    <w:rsid w:val="000240F9"/>
    <w:rsid w:val="00035FD2"/>
    <w:rsid w:val="00036284"/>
    <w:rsid w:val="000609DC"/>
    <w:rsid w:val="00062FCD"/>
    <w:rsid w:val="00083314"/>
    <w:rsid w:val="000A366E"/>
    <w:rsid w:val="00167059"/>
    <w:rsid w:val="00172A8F"/>
    <w:rsid w:val="00196E44"/>
    <w:rsid w:val="001A1AEA"/>
    <w:rsid w:val="001E55BA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21655"/>
    <w:rsid w:val="00444E86"/>
    <w:rsid w:val="00452015"/>
    <w:rsid w:val="00453724"/>
    <w:rsid w:val="004915E6"/>
    <w:rsid w:val="00514B52"/>
    <w:rsid w:val="00521CE0"/>
    <w:rsid w:val="0054014C"/>
    <w:rsid w:val="005605ED"/>
    <w:rsid w:val="005730EE"/>
    <w:rsid w:val="005B39D3"/>
    <w:rsid w:val="005C3893"/>
    <w:rsid w:val="005D0E14"/>
    <w:rsid w:val="005D4BC2"/>
    <w:rsid w:val="005E4675"/>
    <w:rsid w:val="0061181A"/>
    <w:rsid w:val="00632B96"/>
    <w:rsid w:val="006726C2"/>
    <w:rsid w:val="00674594"/>
    <w:rsid w:val="006C4F21"/>
    <w:rsid w:val="00703F1A"/>
    <w:rsid w:val="00751A8E"/>
    <w:rsid w:val="00765578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891B91"/>
    <w:rsid w:val="00924C12"/>
    <w:rsid w:val="00941845"/>
    <w:rsid w:val="009702D7"/>
    <w:rsid w:val="00974DFD"/>
    <w:rsid w:val="009837C5"/>
    <w:rsid w:val="009C1CC3"/>
    <w:rsid w:val="00A3183C"/>
    <w:rsid w:val="00A46A2A"/>
    <w:rsid w:val="00AB7870"/>
    <w:rsid w:val="00AC0632"/>
    <w:rsid w:val="00AE52FD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71C6B"/>
    <w:rsid w:val="00C94B9A"/>
    <w:rsid w:val="00CA09ED"/>
    <w:rsid w:val="00CA68DE"/>
    <w:rsid w:val="00CB6D39"/>
    <w:rsid w:val="00CC2184"/>
    <w:rsid w:val="00CC3EE6"/>
    <w:rsid w:val="00CC6410"/>
    <w:rsid w:val="00CD0CBA"/>
    <w:rsid w:val="00D018AB"/>
    <w:rsid w:val="00D54E78"/>
    <w:rsid w:val="00D55422"/>
    <w:rsid w:val="00D925AA"/>
    <w:rsid w:val="00DB2AEF"/>
    <w:rsid w:val="00DB4E26"/>
    <w:rsid w:val="00DE0E86"/>
    <w:rsid w:val="00E0599F"/>
    <w:rsid w:val="00E434C3"/>
    <w:rsid w:val="00E73856"/>
    <w:rsid w:val="00E763ED"/>
    <w:rsid w:val="00EB444C"/>
    <w:rsid w:val="00EB512B"/>
    <w:rsid w:val="00EB7374"/>
    <w:rsid w:val="00EC7039"/>
    <w:rsid w:val="00F00DD8"/>
    <w:rsid w:val="00F0798C"/>
    <w:rsid w:val="00F27542"/>
    <w:rsid w:val="00F36430"/>
    <w:rsid w:val="00F44883"/>
    <w:rsid w:val="00F718F4"/>
    <w:rsid w:val="00F969F7"/>
    <w:rsid w:val="00FA093B"/>
    <w:rsid w:val="00FA7685"/>
    <w:rsid w:val="00FC1B28"/>
    <w:rsid w:val="00FE40EF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93B"/>
  </w:style>
  <w:style w:type="paragraph" w:styleId="Titre1">
    <w:name w:val="heading 1"/>
    <w:basedOn w:val="Normal"/>
    <w:next w:val="Normal"/>
    <w:rsid w:val="00FA093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FA093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FA093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FA093B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FA093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FA093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FA09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FA093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FA09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A093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Dessin_Microsoft_Visio11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ceurbain.lamah@anam-guine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F5B5-205D-40E1-9679-02B959AF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636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6</cp:revision>
  <cp:lastPrinted>2016-11-22T08:57:00Z</cp:lastPrinted>
  <dcterms:created xsi:type="dcterms:W3CDTF">2016-12-12T08:28:00Z</dcterms:created>
  <dcterms:modified xsi:type="dcterms:W3CDTF">2017-02-09T13:32:00Z</dcterms:modified>
</cp:coreProperties>
</file>