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5D70CD75" w:rsidR="00FA7685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0221EB">
        <w:rPr>
          <w:rFonts w:ascii="Calibri" w:eastAsia="Calibri" w:hAnsi="Calibri" w:cs="Calibri"/>
          <w:b/>
          <w:sz w:val="22"/>
          <w:szCs w:val="22"/>
        </w:rPr>
        <w:t>du Transport</w:t>
      </w:r>
    </w:p>
    <w:p w14:paraId="768D43C2" w14:textId="77777777" w:rsidR="00FA7685" w:rsidRDefault="00FA7685">
      <w:pPr>
        <w:jc w:val="center"/>
      </w:pPr>
    </w:p>
    <w:p w14:paraId="23BC4A9E" w14:textId="4A8503A5" w:rsidR="00703F1A" w:rsidRDefault="00CA68D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Certificat </w:t>
      </w:r>
      <w:r w:rsidR="00AE52FD">
        <w:rPr>
          <w:rFonts w:ascii="Calibri" w:eastAsia="Calibri" w:hAnsi="Calibri" w:cs="Calibri"/>
          <w:b/>
          <w:sz w:val="22"/>
          <w:szCs w:val="22"/>
        </w:rPr>
        <w:t>d’immatriculation</w:t>
      </w:r>
    </w:p>
    <w:p w14:paraId="156FD359" w14:textId="77777777" w:rsidR="00751A8E" w:rsidRPr="00EB444C" w:rsidRDefault="00751A8E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02CCC734" w:rsidR="00FA7685" w:rsidRPr="0061181A" w:rsidRDefault="00247175" w:rsidP="00AE52F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Certificat</w:t>
            </w:r>
            <w:r w:rsidR="004915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904110">
              <w:rPr>
                <w:rFonts w:ascii="Calibri" w:hAnsi="Calibri"/>
                <w:color w:val="000000" w:themeColor="text1"/>
                <w:sz w:val="22"/>
                <w:szCs w:val="22"/>
              </w:rPr>
              <w:t>délivré</w:t>
            </w:r>
            <w:r w:rsidR="00703F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AE52FD">
              <w:rPr>
                <w:rFonts w:ascii="Calibri" w:hAnsi="Calibri"/>
                <w:color w:val="000000" w:themeColor="text1"/>
                <w:sz w:val="22"/>
                <w:szCs w:val="22"/>
              </w:rPr>
              <w:t>par les autorités maritimes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14037C11" w:rsidR="007E7288" w:rsidRPr="00CB6D39" w:rsidRDefault="00421655" w:rsidP="00AE52FD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21655">
              <w:rPr>
                <w:rFonts w:ascii="Calibri" w:hAnsi="Calibri"/>
                <w:color w:val="000000" w:themeColor="text1"/>
                <w:sz w:val="22"/>
                <w:szCs w:val="22"/>
              </w:rPr>
              <w:t>Atteste de l'immatriculation du navire au registre guinéen d'immatriculation des navires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0A543F5" w14:textId="0FF4CA00" w:rsidR="00421655" w:rsidRPr="00421655" w:rsidRDefault="00421655" w:rsidP="00421655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21655">
              <w:rPr>
                <w:rFonts w:ascii="Calibri" w:hAnsi="Calibri"/>
                <w:color w:val="000000" w:themeColor="text1"/>
                <w:sz w:val="22"/>
                <w:szCs w:val="22"/>
              </w:rPr>
              <w:t>Code de la Marine Marchande (Article 333)</w:t>
            </w:r>
          </w:p>
          <w:p w14:paraId="4485F219" w14:textId="11D8D546" w:rsidR="00FE40EF" w:rsidRPr="00CB6D39" w:rsidRDefault="00421655" w:rsidP="00421655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21655">
              <w:rPr>
                <w:rFonts w:ascii="Calibri" w:hAnsi="Calibri"/>
                <w:color w:val="000000" w:themeColor="text1"/>
                <w:sz w:val="22"/>
                <w:szCs w:val="22"/>
              </w:rPr>
              <w:t>Arrêté du Ministre chargé de la Marine marchande pour les modalités de délivrance des certificats d'immatriculation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186B5CC1" w:rsidR="00CC2184" w:rsidRPr="0061181A" w:rsidRDefault="00CA68DE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3A8F0BF8" w:rsidR="003B1A64" w:rsidRPr="0061181A" w:rsidRDefault="00CA68DE" w:rsidP="00CB6D39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0FEAB487" w:rsidR="00F44883" w:rsidRPr="005D4BC2" w:rsidRDefault="00421655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Voir arrêté 1033/2011 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70BBCA4D" w:rsidR="00703F1A" w:rsidRPr="00CB6D39" w:rsidRDefault="00CA68DE" w:rsidP="00CB6D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2FCE5E7E" w14:textId="1C9D61C0" w:rsidR="00421655" w:rsidRPr="00421655" w:rsidRDefault="00421655" w:rsidP="00421655">
            <w:pPr>
              <w:pStyle w:val="Paragraphedeliste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421655">
              <w:rPr>
                <w:rFonts w:ascii="Calibri" w:hAnsi="Calibri"/>
                <w:sz w:val="22"/>
                <w:szCs w:val="22"/>
              </w:rPr>
              <w:t>Déclaration de propriété</w:t>
            </w:r>
          </w:p>
          <w:p w14:paraId="1B0BCD29" w14:textId="7BDDF524" w:rsidR="00421655" w:rsidRPr="00421655" w:rsidRDefault="00421655" w:rsidP="00421655">
            <w:pPr>
              <w:pStyle w:val="Paragraphedeliste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421655">
              <w:rPr>
                <w:rFonts w:ascii="Calibri" w:hAnsi="Calibri"/>
                <w:sz w:val="22"/>
                <w:szCs w:val="22"/>
              </w:rPr>
              <w:t>Copie de l'acte de vente (si navire déjà immatriculé en Guinée)</w:t>
            </w:r>
          </w:p>
          <w:p w14:paraId="2ECA5904" w14:textId="7F7B2999" w:rsidR="00421655" w:rsidRPr="00421655" w:rsidRDefault="00421655" w:rsidP="00421655">
            <w:pPr>
              <w:pStyle w:val="Paragraphedeliste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421655">
              <w:rPr>
                <w:rFonts w:ascii="Calibri" w:hAnsi="Calibri"/>
                <w:sz w:val="22"/>
                <w:szCs w:val="22"/>
              </w:rPr>
              <w:t>Copie certifiée conforme de l'acte de vente (si navire immatriculé à l'étranger)</w:t>
            </w:r>
          </w:p>
          <w:p w14:paraId="23C5ADFF" w14:textId="79A289FD" w:rsidR="00421655" w:rsidRPr="00421655" w:rsidRDefault="00421655" w:rsidP="00421655">
            <w:pPr>
              <w:pStyle w:val="Paragraphedeliste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421655">
              <w:rPr>
                <w:rFonts w:ascii="Calibri" w:hAnsi="Calibri"/>
                <w:sz w:val="22"/>
                <w:szCs w:val="22"/>
              </w:rPr>
              <w:t>Certificat de jauge</w:t>
            </w:r>
          </w:p>
          <w:p w14:paraId="71B0C44F" w14:textId="1C2C8102" w:rsidR="00421655" w:rsidRPr="00421655" w:rsidRDefault="00421655" w:rsidP="00421655">
            <w:pPr>
              <w:pStyle w:val="Paragraphedeliste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421655">
              <w:rPr>
                <w:rFonts w:ascii="Calibri" w:hAnsi="Calibri"/>
                <w:sz w:val="22"/>
                <w:szCs w:val="22"/>
              </w:rPr>
              <w:t>Autres certificats obligatoires</w:t>
            </w:r>
          </w:p>
          <w:p w14:paraId="72EB481B" w14:textId="6D21F00F" w:rsidR="00751A8E" w:rsidRPr="00421655" w:rsidRDefault="00421655" w:rsidP="00421655">
            <w:pPr>
              <w:pStyle w:val="Paragraphedeliste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421655">
              <w:rPr>
                <w:rFonts w:ascii="Calibri" w:hAnsi="Calibri"/>
                <w:sz w:val="22"/>
                <w:szCs w:val="22"/>
              </w:rPr>
              <w:t>Certificat de classification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4F2C2588" w14:textId="72E284FA" w:rsidR="00CB6D39" w:rsidRPr="00CA68DE" w:rsidRDefault="00CA68DE" w:rsidP="00CA68DE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A68D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1B1FCF20" w14:textId="7BBBF134" w:rsidR="00B85DED" w:rsidRPr="0061181A" w:rsidRDefault="00AE52FD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  <w:r w:rsidR="00B85DE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4070DADB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37A71C35" w:rsidR="00751A8E" w:rsidRPr="00B764CA" w:rsidRDefault="00751A8E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Oui. </w:t>
            </w:r>
          </w:p>
        </w:tc>
        <w:tc>
          <w:tcPr>
            <w:tcW w:w="5671" w:type="dxa"/>
            <w:vAlign w:val="center"/>
          </w:tcPr>
          <w:p w14:paraId="379834AB" w14:textId="7329C51B"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355EA92" w:rsidR="00FA7685" w:rsidRPr="008515F0" w:rsidRDefault="007B488B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62148F8B"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070C155B" w:rsidR="00C71C6B" w:rsidRPr="0061181A" w:rsidRDefault="00AE52FD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Certificat</w:t>
            </w:r>
          </w:p>
        </w:tc>
        <w:tc>
          <w:tcPr>
            <w:tcW w:w="5671" w:type="dxa"/>
            <w:vAlign w:val="center"/>
          </w:tcPr>
          <w:p w14:paraId="2AC94984" w14:textId="5C05B6AE"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009C751D" w14:textId="77777777" w:rsidR="000221EB" w:rsidRDefault="000221EB" w:rsidP="000221EB">
            <w:r>
              <w:rPr>
                <w:rFonts w:ascii="Calibri" w:eastAsia="Calibri" w:hAnsi="Calibri" w:cs="Calibri"/>
                <w:sz w:val="22"/>
                <w:szCs w:val="22"/>
              </w:rPr>
              <w:t>Direction Nationale de la Marine Marchande (DNMM)</w:t>
            </w:r>
          </w:p>
          <w:p w14:paraId="30C1B938" w14:textId="27E7BF23" w:rsidR="00FA7685" w:rsidRPr="0061181A" w:rsidRDefault="00FA7685" w:rsidP="000227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4133D2C5" w:rsidR="00B71921" w:rsidRPr="0061181A" w:rsidRDefault="000221EB" w:rsidP="004915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Ministre des Transports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6250E889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 657 20 22 94</w:t>
            </w:r>
          </w:p>
          <w:p w14:paraId="54F5B06D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moribatoure2009@yahoo.fr</w:t>
              </w:r>
            </w:hyperlink>
          </w:p>
          <w:p w14:paraId="707E2B93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 B.P. 06</w:t>
            </w:r>
          </w:p>
          <w:p w14:paraId="335A8869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Site: Non indiqué </w:t>
            </w:r>
          </w:p>
          <w:p w14:paraId="332FEE1A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 physique: Direction Nationale de la Marine Marchande</w:t>
            </w:r>
          </w:p>
          <w:p w14:paraId="50CE19A3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0DBA52EA" w:rsidR="00FA7685" w:rsidRPr="0061181A" w:rsidRDefault="000221EB" w:rsidP="000221EB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 d’ouverture: 8 h 00 -  16 h 30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178F1626" w:rsidR="002F0B33" w:rsidRPr="00DB2AEF" w:rsidRDefault="00CA68DE" w:rsidP="009041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Consultant compre</w:t>
            </w:r>
            <w:r w:rsidR="00941845">
              <w:rPr>
                <w:rFonts w:ascii="Calibri" w:eastAsia="Calibri" w:hAnsi="Calibri" w:cs="Calibri"/>
                <w:sz w:val="22"/>
                <w:szCs w:val="22"/>
              </w:rPr>
              <w:t xml:space="preserve">nd que le certificat </w:t>
            </w:r>
            <w:r w:rsidR="00AE52FD">
              <w:rPr>
                <w:rFonts w:ascii="Calibri" w:eastAsia="Calibri" w:hAnsi="Calibri" w:cs="Calibri"/>
                <w:sz w:val="22"/>
                <w:szCs w:val="22"/>
              </w:rPr>
              <w:t>d’immatriculation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n’est plus délivré par le Ministère en charge de la Marine Marchande.</w:t>
            </w:r>
            <w:r w:rsidR="005C38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04110">
              <w:rPr>
                <w:rFonts w:ascii="Calibri" w:eastAsia="Calibri" w:hAnsi="Calibri" w:cs="Calibri"/>
                <w:sz w:val="22"/>
                <w:szCs w:val="22"/>
              </w:rPr>
              <w:t>Ce certificat étant identifié</w:t>
            </w:r>
            <w:bookmarkStart w:id="1" w:name="_GoBack"/>
            <w:bookmarkEnd w:id="1"/>
            <w:r w:rsidR="005C3893">
              <w:rPr>
                <w:rFonts w:ascii="Calibri" w:eastAsia="Calibri" w:hAnsi="Calibri" w:cs="Calibri"/>
                <w:sz w:val="22"/>
                <w:szCs w:val="22"/>
              </w:rPr>
              <w:t xml:space="preserve"> dans les textes, une fiche dédiée a néanmoins été préparée par le Consultant.</w:t>
            </w:r>
          </w:p>
        </w:tc>
      </w:tr>
    </w:tbl>
    <w:p w14:paraId="63977976" w14:textId="4D1E90D1" w:rsidR="00FA7685" w:rsidRDefault="00FA7685"/>
    <w:sectPr w:rsidR="00FA7685">
      <w:footerReference w:type="default" r:id="rId10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80273" w14:textId="77777777" w:rsidR="00C30BE3" w:rsidRDefault="00C30BE3" w:rsidP="003B1A64">
      <w:r>
        <w:separator/>
      </w:r>
    </w:p>
  </w:endnote>
  <w:endnote w:type="continuationSeparator" w:id="0">
    <w:p w14:paraId="40A977F7" w14:textId="77777777" w:rsidR="00C30BE3" w:rsidRDefault="00C30BE3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77777777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10">
          <w:rPr>
            <w:noProof/>
          </w:rPr>
          <w:t>3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74A0" w14:textId="77777777" w:rsidR="00C30BE3" w:rsidRDefault="00C30BE3" w:rsidP="003B1A64">
      <w:r>
        <w:separator/>
      </w:r>
    </w:p>
  </w:footnote>
  <w:footnote w:type="continuationSeparator" w:id="0">
    <w:p w14:paraId="3CF9D4BE" w14:textId="77777777" w:rsidR="00C30BE3" w:rsidRDefault="00C30BE3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27C32"/>
    <w:multiLevelType w:val="hybridMultilevel"/>
    <w:tmpl w:val="D22A27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7"/>
  </w:num>
  <w:num w:numId="5">
    <w:abstractNumId w:val="25"/>
  </w:num>
  <w:num w:numId="6">
    <w:abstractNumId w:val="28"/>
  </w:num>
  <w:num w:numId="7">
    <w:abstractNumId w:val="6"/>
  </w:num>
  <w:num w:numId="8">
    <w:abstractNumId w:val="22"/>
  </w:num>
  <w:num w:numId="9">
    <w:abstractNumId w:val="23"/>
  </w:num>
  <w:num w:numId="10">
    <w:abstractNumId w:val="30"/>
  </w:num>
  <w:num w:numId="11">
    <w:abstractNumId w:val="8"/>
  </w:num>
  <w:num w:numId="12">
    <w:abstractNumId w:val="16"/>
  </w:num>
  <w:num w:numId="13">
    <w:abstractNumId w:val="27"/>
  </w:num>
  <w:num w:numId="14">
    <w:abstractNumId w:val="13"/>
  </w:num>
  <w:num w:numId="15">
    <w:abstractNumId w:val="4"/>
  </w:num>
  <w:num w:numId="16">
    <w:abstractNumId w:val="3"/>
  </w:num>
  <w:num w:numId="17">
    <w:abstractNumId w:val="14"/>
  </w:num>
  <w:num w:numId="18">
    <w:abstractNumId w:val="5"/>
  </w:num>
  <w:num w:numId="19">
    <w:abstractNumId w:val="34"/>
  </w:num>
  <w:num w:numId="20">
    <w:abstractNumId w:val="24"/>
  </w:num>
  <w:num w:numId="21">
    <w:abstractNumId w:val="10"/>
  </w:num>
  <w:num w:numId="22">
    <w:abstractNumId w:val="15"/>
  </w:num>
  <w:num w:numId="23">
    <w:abstractNumId w:val="1"/>
  </w:num>
  <w:num w:numId="24">
    <w:abstractNumId w:val="11"/>
  </w:num>
  <w:num w:numId="25">
    <w:abstractNumId w:val="2"/>
  </w:num>
  <w:num w:numId="26">
    <w:abstractNumId w:val="31"/>
  </w:num>
  <w:num w:numId="27">
    <w:abstractNumId w:val="12"/>
  </w:num>
  <w:num w:numId="28">
    <w:abstractNumId w:val="20"/>
  </w:num>
  <w:num w:numId="29">
    <w:abstractNumId w:val="32"/>
  </w:num>
  <w:num w:numId="30">
    <w:abstractNumId w:val="29"/>
  </w:num>
  <w:num w:numId="31">
    <w:abstractNumId w:val="19"/>
  </w:num>
  <w:num w:numId="32">
    <w:abstractNumId w:val="17"/>
  </w:num>
  <w:num w:numId="33">
    <w:abstractNumId w:val="18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609DC"/>
    <w:rsid w:val="00062FCD"/>
    <w:rsid w:val="00083314"/>
    <w:rsid w:val="000A366E"/>
    <w:rsid w:val="00167059"/>
    <w:rsid w:val="00172A8F"/>
    <w:rsid w:val="00196E44"/>
    <w:rsid w:val="00247175"/>
    <w:rsid w:val="002938F9"/>
    <w:rsid w:val="002B00CB"/>
    <w:rsid w:val="002F0B33"/>
    <w:rsid w:val="002F6DB4"/>
    <w:rsid w:val="00317A46"/>
    <w:rsid w:val="00367F48"/>
    <w:rsid w:val="00380506"/>
    <w:rsid w:val="003B1A64"/>
    <w:rsid w:val="00407C20"/>
    <w:rsid w:val="00421655"/>
    <w:rsid w:val="00444E86"/>
    <w:rsid w:val="00452015"/>
    <w:rsid w:val="00453724"/>
    <w:rsid w:val="004915E6"/>
    <w:rsid w:val="00514B52"/>
    <w:rsid w:val="00521CE0"/>
    <w:rsid w:val="005605ED"/>
    <w:rsid w:val="005730EE"/>
    <w:rsid w:val="005B39D3"/>
    <w:rsid w:val="005C3893"/>
    <w:rsid w:val="005D0E14"/>
    <w:rsid w:val="005D4BC2"/>
    <w:rsid w:val="005E4675"/>
    <w:rsid w:val="0061181A"/>
    <w:rsid w:val="00632B96"/>
    <w:rsid w:val="006726C2"/>
    <w:rsid w:val="00674594"/>
    <w:rsid w:val="00703F1A"/>
    <w:rsid w:val="00751A8E"/>
    <w:rsid w:val="00765578"/>
    <w:rsid w:val="007949F6"/>
    <w:rsid w:val="007B488B"/>
    <w:rsid w:val="007B4DDF"/>
    <w:rsid w:val="007D6319"/>
    <w:rsid w:val="007E5245"/>
    <w:rsid w:val="007E68FB"/>
    <w:rsid w:val="007E7288"/>
    <w:rsid w:val="00846867"/>
    <w:rsid w:val="008515F0"/>
    <w:rsid w:val="0085262A"/>
    <w:rsid w:val="0086167B"/>
    <w:rsid w:val="00904110"/>
    <w:rsid w:val="00924C12"/>
    <w:rsid w:val="00941845"/>
    <w:rsid w:val="009702D7"/>
    <w:rsid w:val="00974DFD"/>
    <w:rsid w:val="009837C5"/>
    <w:rsid w:val="009C1CC3"/>
    <w:rsid w:val="00A3183C"/>
    <w:rsid w:val="00A46A2A"/>
    <w:rsid w:val="00AB7870"/>
    <w:rsid w:val="00AE52FD"/>
    <w:rsid w:val="00B244DB"/>
    <w:rsid w:val="00B53C55"/>
    <w:rsid w:val="00B71921"/>
    <w:rsid w:val="00B764CA"/>
    <w:rsid w:val="00B85DED"/>
    <w:rsid w:val="00BD3B30"/>
    <w:rsid w:val="00BE6C22"/>
    <w:rsid w:val="00C30733"/>
    <w:rsid w:val="00C30BE3"/>
    <w:rsid w:val="00C71C6B"/>
    <w:rsid w:val="00C94B9A"/>
    <w:rsid w:val="00CA09ED"/>
    <w:rsid w:val="00CA68DE"/>
    <w:rsid w:val="00CB6D39"/>
    <w:rsid w:val="00CC2184"/>
    <w:rsid w:val="00CD0CBA"/>
    <w:rsid w:val="00D54E78"/>
    <w:rsid w:val="00D55422"/>
    <w:rsid w:val="00D925AA"/>
    <w:rsid w:val="00DB2AEF"/>
    <w:rsid w:val="00DB4E26"/>
    <w:rsid w:val="00DE0E86"/>
    <w:rsid w:val="00E0599F"/>
    <w:rsid w:val="00E73856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718F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ribatoure2009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BAA1-70ED-4E09-9249-968F5D41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19</cp:revision>
  <cp:lastPrinted>2016-11-22T08:57:00Z</cp:lastPrinted>
  <dcterms:created xsi:type="dcterms:W3CDTF">2016-11-18T16:48:00Z</dcterms:created>
  <dcterms:modified xsi:type="dcterms:W3CDTF">2016-11-23T09:08:00Z</dcterms:modified>
</cp:coreProperties>
</file>