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64388237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CC3ADA">
        <w:rPr>
          <w:rFonts w:ascii="Calibri" w:eastAsia="Calibri" w:hAnsi="Calibri" w:cs="Calibri"/>
          <w:b/>
          <w:sz w:val="22"/>
          <w:szCs w:val="22"/>
        </w:rPr>
        <w:t>du Budget</w:t>
      </w:r>
    </w:p>
    <w:p w14:paraId="768D43C2" w14:textId="77777777" w:rsidR="00FA7685" w:rsidRDefault="00FA7685">
      <w:pPr>
        <w:jc w:val="center"/>
      </w:pPr>
    </w:p>
    <w:p w14:paraId="23BC4A9E" w14:textId="03B1803D" w:rsidR="00703F1A" w:rsidRDefault="00CC3AD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Acte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Guinéisation</w:t>
      </w:r>
      <w:proofErr w:type="spellEnd"/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C230876" w:rsidR="00FA7685" w:rsidRPr="0061181A" w:rsidRDefault="004915E6" w:rsidP="00CC3AD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</w:t>
            </w:r>
            <w:r w:rsidR="00AE52F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par </w:t>
            </w:r>
            <w:r w:rsidR="00CC3ADA">
              <w:rPr>
                <w:rFonts w:ascii="Calibri" w:hAnsi="Calibri"/>
                <w:color w:val="000000" w:themeColor="text1"/>
                <w:sz w:val="22"/>
                <w:szCs w:val="22"/>
              </w:rPr>
              <w:t>le service des douanes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0C3C3E78" w:rsidR="007E7288" w:rsidRPr="00CB6D39" w:rsidRDefault="00CC3ADA" w:rsidP="00AE52F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Confère au Navire le droit de battre le pavillon d</w:t>
            </w:r>
            <w:bookmarkStart w:id="1" w:name="_GoBack"/>
            <w:bookmarkEnd w:id="1"/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e la république de Guinée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7DAD6C51" w14:textId="40BFFB8C" w:rsidR="00CC3ADA" w:rsidRPr="00CC3ADA" w:rsidRDefault="00CC3ADA" w:rsidP="00CC3AD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(Articles 312-330)</w:t>
            </w:r>
          </w:p>
          <w:p w14:paraId="01215AFD" w14:textId="21BA225D" w:rsidR="00CC3ADA" w:rsidRPr="00CC3ADA" w:rsidRDefault="00CC3ADA" w:rsidP="00CC3AD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  <w:p w14:paraId="77AC3D40" w14:textId="2C8B9B33" w:rsidR="00CC3ADA" w:rsidRPr="00CC3ADA" w:rsidRDefault="00CC3ADA" w:rsidP="00CC3AD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Arrêté du Ministre de la Marine Marchande fixant les modalités de délivrance de l'acte de </w:t>
            </w:r>
            <w:proofErr w:type="spellStart"/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Guinéisation</w:t>
            </w:r>
            <w:proofErr w:type="spellEnd"/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485F219" w14:textId="28B178AB" w:rsidR="00FE40EF" w:rsidRPr="00CB6D39" w:rsidRDefault="00CC3ADA" w:rsidP="00CC3ADA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ADA">
              <w:rPr>
                <w:rFonts w:ascii="Calibri" w:hAnsi="Calibri"/>
                <w:color w:val="000000" w:themeColor="text1"/>
                <w:sz w:val="22"/>
                <w:szCs w:val="22"/>
              </w:rPr>
              <w:t>Code des douanes (articles 201-208)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86B5CC1" w:rsidR="00CC2184" w:rsidRPr="0061181A" w:rsidRDefault="00CA68D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A8F0BF8" w:rsidR="003B1A64" w:rsidRPr="0061181A" w:rsidRDefault="00CA68DE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0FEAB487" w:rsidR="00F44883" w:rsidRPr="005D4BC2" w:rsidRDefault="00421655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arrêté 1033/2011 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0BBCA4D" w:rsidR="00703F1A" w:rsidRPr="00CB6D39" w:rsidRDefault="00CA68DE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66D309AE" w:rsidR="00751A8E" w:rsidRPr="00CC3ADA" w:rsidRDefault="00CC3ADA" w:rsidP="00CC3ADA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CC3ADA">
              <w:rPr>
                <w:rFonts w:ascii="Calibri" w:hAnsi="Calibri"/>
                <w:sz w:val="22"/>
                <w:szCs w:val="22"/>
              </w:rPr>
              <w:t>Document indiquant l'appartenance du Navire (voir article 330 du Code de la Marine marchande)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72E284FA" w:rsidR="00CB6D39" w:rsidRPr="00CA68DE" w:rsidRDefault="00CA68DE" w:rsidP="00CA68D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7BBBF134" w:rsidR="00B85DED" w:rsidRPr="0061181A" w:rsidRDefault="00AE52FD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7A71C35" w:rsidR="00751A8E" w:rsidRPr="00B764CA" w:rsidRDefault="00751A8E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Oui.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070C155B" w:rsidR="00C71C6B" w:rsidRPr="0061181A" w:rsidRDefault="00AE52FD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6F7001D" w:rsidR="000221EB" w:rsidRDefault="00CC3ADA" w:rsidP="000221EB">
            <w:r>
              <w:rPr>
                <w:rFonts w:ascii="Calibri" w:eastAsia="Calibri" w:hAnsi="Calibri" w:cs="Calibri"/>
                <w:sz w:val="22"/>
                <w:szCs w:val="22"/>
              </w:rPr>
              <w:t>Service des douanes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7CCC49D3" w:rsidR="00B71921" w:rsidRPr="0061181A" w:rsidRDefault="00B71921" w:rsidP="004915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5D10721A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44391611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5AF626CF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Boite Postale: </w:t>
            </w:r>
          </w:p>
          <w:p w14:paraId="335A8869" w14:textId="7391BB55" w:rsidR="000221EB" w:rsidRDefault="00CC3ADA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</w:t>
            </w:r>
          </w:p>
          <w:p w14:paraId="332FEE1A" w14:textId="38CC9F1F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1D013537" w:rsidR="00FA7685" w:rsidRPr="0061181A" w:rsidRDefault="000221EB" w:rsidP="00CC3AD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243B3148" w14:textId="77777777" w:rsidR="00CC3ADA" w:rsidRP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DE532D" w14:textId="509383AC" w:rsidR="00CC3ADA" w:rsidRP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3ADA">
              <w:rPr>
                <w:rFonts w:ascii="Calibri" w:eastAsia="Calibri" w:hAnsi="Calibri" w:cs="Calibri"/>
                <w:sz w:val="22"/>
                <w:szCs w:val="22"/>
              </w:rPr>
              <w:t xml:space="preserve">Le Code des douanes (article 208) précise que le service des douanes délivre l'acte de </w:t>
            </w:r>
            <w:proofErr w:type="spellStart"/>
            <w:r w:rsidRPr="00CC3ADA">
              <w:rPr>
                <w:rFonts w:ascii="Calibri" w:eastAsia="Calibri" w:hAnsi="Calibri" w:cs="Calibri"/>
                <w:sz w:val="22"/>
                <w:szCs w:val="22"/>
              </w:rPr>
              <w:t>guinéisation</w:t>
            </w:r>
            <w:proofErr w:type="spellEnd"/>
            <w:r w:rsidRPr="00CC3ADA">
              <w:rPr>
                <w:rFonts w:ascii="Calibri" w:eastAsia="Calibri" w:hAnsi="Calibri" w:cs="Calibri"/>
                <w:sz w:val="22"/>
                <w:szCs w:val="22"/>
              </w:rPr>
              <w:t xml:space="preserve"> après accomplissement des formalités prévues par le Code des douanes. Le Code de la Marine marchande (article 317) indique que l'acte de </w:t>
            </w:r>
            <w:proofErr w:type="spellStart"/>
            <w:r w:rsidRPr="00CC3ADA">
              <w:rPr>
                <w:rFonts w:ascii="Calibri" w:eastAsia="Calibri" w:hAnsi="Calibri" w:cs="Calibri"/>
                <w:sz w:val="22"/>
                <w:szCs w:val="22"/>
              </w:rPr>
              <w:t>guinéisation</w:t>
            </w:r>
            <w:proofErr w:type="spellEnd"/>
            <w:r w:rsidRPr="00CC3ADA">
              <w:rPr>
                <w:rFonts w:ascii="Calibri" w:eastAsia="Calibri" w:hAnsi="Calibri" w:cs="Calibri"/>
                <w:sz w:val="22"/>
                <w:szCs w:val="22"/>
              </w:rPr>
              <w:t xml:space="preserve"> est délivré par l'autorité </w:t>
            </w:r>
            <w:r w:rsidRPr="00CC3ADA">
              <w:rPr>
                <w:rFonts w:ascii="Calibri" w:eastAsia="Calibri" w:hAnsi="Calibri" w:cs="Calibri"/>
                <w:sz w:val="22"/>
                <w:szCs w:val="22"/>
              </w:rPr>
              <w:t>maritime</w:t>
            </w:r>
            <w:r w:rsidRPr="00CC3ADA">
              <w:rPr>
                <w:rFonts w:ascii="Calibri" w:eastAsia="Calibri" w:hAnsi="Calibri" w:cs="Calibri"/>
                <w:sz w:val="22"/>
                <w:szCs w:val="22"/>
              </w:rPr>
              <w:t xml:space="preserve"> au navire à la demande du propriétaire.</w:t>
            </w:r>
          </w:p>
          <w:p w14:paraId="2529ABC8" w14:textId="77777777" w:rsidR="00CC3ADA" w:rsidRP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AFE79B" w14:textId="45B58018" w:rsidR="00CC3ADA" w:rsidRP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3ADA">
              <w:rPr>
                <w:rFonts w:ascii="Calibri" w:eastAsia="Calibri" w:hAnsi="Calibri" w:cs="Calibri"/>
                <w:sz w:val="22"/>
                <w:szCs w:val="22"/>
              </w:rPr>
              <w:t xml:space="preserve">Il y a donc un conflit de textes qui engendre un conflit de </w:t>
            </w:r>
            <w:r w:rsidRPr="00CC3ADA">
              <w:rPr>
                <w:rFonts w:ascii="Calibri" w:eastAsia="Calibri" w:hAnsi="Calibri" w:cs="Calibri"/>
                <w:sz w:val="22"/>
                <w:szCs w:val="22"/>
              </w:rPr>
              <w:t>compétences</w:t>
            </w:r>
            <w:r w:rsidRPr="00CC3AD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954F7E1" w14:textId="77777777" w:rsidR="00CC3ADA" w:rsidRP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17B430" w14:textId="2BB65306" w:rsid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3ADA">
              <w:rPr>
                <w:rFonts w:ascii="Calibri" w:eastAsia="Calibri" w:hAnsi="Calibri" w:cs="Calibri"/>
                <w:sz w:val="22"/>
                <w:szCs w:val="22"/>
              </w:rPr>
              <w:t>Le terme d'autorité maritime n'est pas défini par le Code la Marine Marchande. On ne peut donc clairement identifier l'entité délivrant l'Autorisation.</w:t>
            </w:r>
          </w:p>
          <w:p w14:paraId="462F4BEE" w14:textId="77777777" w:rsidR="00CC3ADA" w:rsidRDefault="00CC3ADA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130E37" w14:textId="1F80B943" w:rsidR="002F0B33" w:rsidRPr="00DB2AEF" w:rsidRDefault="00CA68DE" w:rsidP="00CC3A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compre</w:t>
            </w:r>
            <w:r w:rsidR="00CC3ADA">
              <w:rPr>
                <w:rFonts w:ascii="Calibri" w:eastAsia="Calibri" w:hAnsi="Calibri" w:cs="Calibri"/>
                <w:sz w:val="22"/>
                <w:szCs w:val="22"/>
              </w:rPr>
              <w:t xml:space="preserve">nd que l’acte de </w:t>
            </w:r>
            <w:proofErr w:type="spellStart"/>
            <w:r w:rsidR="00CC3ADA">
              <w:rPr>
                <w:rFonts w:ascii="Calibri" w:eastAsia="Calibri" w:hAnsi="Calibri" w:cs="Calibri"/>
                <w:sz w:val="22"/>
                <w:szCs w:val="22"/>
              </w:rPr>
              <w:t>guinéisation</w:t>
            </w:r>
            <w:proofErr w:type="spellEnd"/>
            <w:r w:rsidR="00CC3AD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n’est plus délivré par le Ministère en charge de la Marine Marchande.</w:t>
            </w:r>
            <w:r w:rsidR="005C38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3977976" w14:textId="4D1E90D1" w:rsidR="00FA7685" w:rsidRDefault="00FA7685"/>
    <w:sectPr w:rsidR="00FA7685">
      <w:footerReference w:type="default" r:id="rId9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DA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25"/>
  </w:num>
  <w:num w:numId="6">
    <w:abstractNumId w:val="28"/>
  </w:num>
  <w:num w:numId="7">
    <w:abstractNumId w:val="6"/>
  </w:num>
  <w:num w:numId="8">
    <w:abstractNumId w:val="22"/>
  </w:num>
  <w:num w:numId="9">
    <w:abstractNumId w:val="23"/>
  </w:num>
  <w:num w:numId="10">
    <w:abstractNumId w:val="30"/>
  </w:num>
  <w:num w:numId="11">
    <w:abstractNumId w:val="8"/>
  </w:num>
  <w:num w:numId="12">
    <w:abstractNumId w:val="16"/>
  </w:num>
  <w:num w:numId="13">
    <w:abstractNumId w:val="27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5"/>
  </w:num>
  <w:num w:numId="19">
    <w:abstractNumId w:val="34"/>
  </w:num>
  <w:num w:numId="20">
    <w:abstractNumId w:val="24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2"/>
  </w:num>
  <w:num w:numId="26">
    <w:abstractNumId w:val="31"/>
  </w:num>
  <w:num w:numId="27">
    <w:abstractNumId w:val="12"/>
  </w:num>
  <w:num w:numId="28">
    <w:abstractNumId w:val="20"/>
  </w:num>
  <w:num w:numId="29">
    <w:abstractNumId w:val="32"/>
  </w:num>
  <w:num w:numId="30">
    <w:abstractNumId w:val="29"/>
  </w:num>
  <w:num w:numId="31">
    <w:abstractNumId w:val="19"/>
  </w:num>
  <w:num w:numId="32">
    <w:abstractNumId w:val="17"/>
  </w:num>
  <w:num w:numId="33">
    <w:abstractNumId w:val="18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C389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24C12"/>
    <w:rsid w:val="00941845"/>
    <w:rsid w:val="009702D7"/>
    <w:rsid w:val="00974DFD"/>
    <w:rsid w:val="009837C5"/>
    <w:rsid w:val="009C1CC3"/>
    <w:rsid w:val="00A3183C"/>
    <w:rsid w:val="00A46A2A"/>
    <w:rsid w:val="00AB7870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C3ADA"/>
    <w:rsid w:val="00CD0CBA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26F0-9ADA-4067-9F1C-5268677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18</cp:revision>
  <cp:lastPrinted>2016-11-22T08:57:00Z</cp:lastPrinted>
  <dcterms:created xsi:type="dcterms:W3CDTF">2016-11-18T16:48:00Z</dcterms:created>
  <dcterms:modified xsi:type="dcterms:W3CDTF">2016-11-23T08:55:00Z</dcterms:modified>
</cp:coreProperties>
</file>